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5F56C17" w14:textId="32D5E8CE" w:rsidR="00FA5D11" w:rsidRPr="00FA5D11" w:rsidRDefault="00792A4E" w:rsidP="00A2628F">
      <w:pPr>
        <w:pStyle w:val="Heading1"/>
        <w:jc w:val="center"/>
        <w:rPr>
          <w:color w:val="0079C2"/>
          <w:sz w:val="36"/>
          <w:szCs w:val="36"/>
        </w:rPr>
      </w:pPr>
      <w:r>
        <w:rPr>
          <w:noProof/>
          <w:color w:val="0079C2"/>
          <w:sz w:val="36"/>
          <w:szCs w:val="36"/>
        </w:rPr>
        <w:drawing>
          <wp:inline distT="0" distB="0" distL="0" distR="0" wp14:anchorId="06FC2D68" wp14:editId="3D5CF954">
            <wp:extent cx="5086985" cy="2259009"/>
            <wp:effectExtent l="0" t="0" r="0" b="1905"/>
            <wp:docPr id="4" name="Picture 4" descr="Docs:Publicity:Active:Press Releases 2016:Ag Org:Ag leadership photo:Topcon_Agricultur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ocs:Publicity:Active:Press Releases 2016:Ag Org:Ag leadership photo:Topcon_Agriculture2.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086985" cy="2259009"/>
                    </a:xfrm>
                    <a:prstGeom prst="rect">
                      <a:avLst/>
                    </a:prstGeom>
                    <a:noFill/>
                    <a:ln>
                      <a:noFill/>
                    </a:ln>
                  </pic:spPr>
                </pic:pic>
              </a:graphicData>
            </a:graphic>
          </wp:inline>
        </w:drawing>
      </w:r>
      <w:r w:rsidR="00A2628F">
        <w:rPr>
          <w:color w:val="0079C2"/>
          <w:sz w:val="36"/>
          <w:szCs w:val="36"/>
        </w:rPr>
        <w:br/>
      </w:r>
      <w:r>
        <w:rPr>
          <w:color w:val="0079C2"/>
          <w:sz w:val="36"/>
          <w:szCs w:val="36"/>
        </w:rPr>
        <w:br/>
      </w:r>
      <w:r w:rsidR="00FA5D11" w:rsidRPr="00FA5D11">
        <w:rPr>
          <w:color w:val="0079C2"/>
          <w:sz w:val="36"/>
          <w:szCs w:val="36"/>
        </w:rPr>
        <w:t>Topcon announces global</w:t>
      </w:r>
      <w:r w:rsidR="00FA5D11">
        <w:rPr>
          <w:color w:val="0079C2"/>
          <w:sz w:val="36"/>
          <w:szCs w:val="36"/>
        </w:rPr>
        <w:t xml:space="preserve"> </w:t>
      </w:r>
      <w:r w:rsidR="00FA5D11" w:rsidRPr="00FA5D11">
        <w:rPr>
          <w:color w:val="0079C2"/>
          <w:sz w:val="36"/>
          <w:szCs w:val="36"/>
        </w:rPr>
        <w:t>Agriculture Group</w:t>
      </w:r>
    </w:p>
    <w:p w14:paraId="6D9A0534" w14:textId="09D5D42C" w:rsidR="00FA5D11" w:rsidRPr="009605F6" w:rsidRDefault="00FA5D11" w:rsidP="00FA5D11">
      <w:pPr>
        <w:tabs>
          <w:tab w:val="left" w:pos="270"/>
        </w:tabs>
        <w:rPr>
          <w:rFonts w:ascii="Arial" w:hAnsi="Arial"/>
          <w:color w:val="000000"/>
          <w:sz w:val="20"/>
          <w:szCs w:val="20"/>
        </w:rPr>
      </w:pPr>
      <w:r w:rsidRPr="009605F6">
        <w:rPr>
          <w:rFonts w:ascii="Arial" w:hAnsi="Arial"/>
          <w:i/>
          <w:color w:val="000000"/>
          <w:sz w:val="20"/>
          <w:szCs w:val="20"/>
        </w:rPr>
        <w:t xml:space="preserve">LIVERMORE, Calif., USA/ TURIN, Italy – June 6, 2016 – </w:t>
      </w:r>
      <w:r w:rsidRPr="009605F6">
        <w:rPr>
          <w:rFonts w:ascii="Arial" w:hAnsi="Arial"/>
          <w:color w:val="000000"/>
          <w:sz w:val="20"/>
          <w:szCs w:val="20"/>
        </w:rPr>
        <w:t>Topcon Positioning Group announces the formation of the Topcon Agriculture Group, a new global organization that further incorporates its precision agriculture business with recently acquired companies to create new connected field and farm management solutions for aftermarket and OEM customers. Global headquarters of the new group is Turin, Italy, with regional North American headquarters in Fort Atkinson, Wisconsin, U.S. and regional APAC headquarters in Adelaide, Australia.</w:t>
      </w:r>
    </w:p>
    <w:p w14:paraId="48C69CB1" w14:textId="77777777" w:rsidR="00FA5D11" w:rsidRPr="009605F6" w:rsidRDefault="00FA5D11" w:rsidP="00FA5D11">
      <w:pPr>
        <w:tabs>
          <w:tab w:val="left" w:pos="270"/>
        </w:tabs>
        <w:rPr>
          <w:rFonts w:ascii="Arial" w:hAnsi="Arial"/>
          <w:color w:val="000000"/>
          <w:sz w:val="20"/>
          <w:szCs w:val="20"/>
        </w:rPr>
      </w:pPr>
    </w:p>
    <w:p w14:paraId="0676156F" w14:textId="77777777" w:rsidR="00FA5D11" w:rsidRPr="009605F6" w:rsidRDefault="00FA5D11" w:rsidP="00FA5D11">
      <w:pPr>
        <w:tabs>
          <w:tab w:val="left" w:pos="270"/>
        </w:tabs>
        <w:rPr>
          <w:rFonts w:ascii="Arial" w:hAnsi="Arial"/>
          <w:color w:val="000000"/>
          <w:sz w:val="20"/>
          <w:szCs w:val="20"/>
        </w:rPr>
      </w:pPr>
      <w:r w:rsidRPr="009605F6">
        <w:rPr>
          <w:rFonts w:ascii="Arial" w:hAnsi="Arial"/>
          <w:color w:val="000000"/>
          <w:sz w:val="20"/>
          <w:szCs w:val="20"/>
        </w:rPr>
        <w:t xml:space="preserve">“With our recent acquisitions of </w:t>
      </w:r>
      <w:proofErr w:type="spellStart"/>
      <w:r w:rsidRPr="009605F6">
        <w:rPr>
          <w:rFonts w:ascii="Arial" w:hAnsi="Arial"/>
          <w:color w:val="000000"/>
          <w:sz w:val="20"/>
          <w:szCs w:val="20"/>
        </w:rPr>
        <w:t>Wachendorff</w:t>
      </w:r>
      <w:proofErr w:type="spellEnd"/>
      <w:r w:rsidRPr="009605F6">
        <w:rPr>
          <w:rFonts w:ascii="Arial" w:hAnsi="Arial"/>
          <w:color w:val="000000"/>
          <w:sz w:val="20"/>
          <w:szCs w:val="20"/>
        </w:rPr>
        <w:t xml:space="preserve"> </w:t>
      </w:r>
      <w:proofErr w:type="spellStart"/>
      <w:r w:rsidRPr="009605F6">
        <w:rPr>
          <w:rFonts w:ascii="Arial" w:hAnsi="Arial"/>
          <w:color w:val="000000"/>
          <w:sz w:val="20"/>
          <w:szCs w:val="20"/>
        </w:rPr>
        <w:t>Elektronik</w:t>
      </w:r>
      <w:proofErr w:type="spellEnd"/>
      <w:r w:rsidRPr="009605F6">
        <w:rPr>
          <w:rFonts w:ascii="Arial" w:hAnsi="Arial"/>
          <w:color w:val="000000"/>
          <w:sz w:val="20"/>
          <w:szCs w:val="20"/>
        </w:rPr>
        <w:t xml:space="preserve">, </w:t>
      </w:r>
      <w:proofErr w:type="spellStart"/>
      <w:r w:rsidRPr="009605F6">
        <w:rPr>
          <w:rFonts w:ascii="Arial" w:hAnsi="Arial"/>
          <w:color w:val="000000"/>
          <w:sz w:val="20"/>
          <w:szCs w:val="20"/>
        </w:rPr>
        <w:t>Digi</w:t>
      </w:r>
      <w:proofErr w:type="spellEnd"/>
      <w:r w:rsidRPr="009605F6">
        <w:rPr>
          <w:rFonts w:ascii="Arial" w:hAnsi="Arial"/>
          <w:color w:val="000000"/>
          <w:sz w:val="20"/>
          <w:szCs w:val="20"/>
        </w:rPr>
        <w:t>-Star, RDS Technology and NORAC we now have the most extensive offering of field and farm management solutions in our industry,” said Ray O’Connor, president and CEO of Topcon Positioning Group (TPG). “We will continue a strong focus on traditional field applications, but we now also have the sensors and software to provide comprehensive planning, process control, workflow monitoring and extensive reporting that will bring our customers the full advantages of connected farming with immediate positive effect on their productivity.”</w:t>
      </w:r>
    </w:p>
    <w:p w14:paraId="7B2102B6" w14:textId="77777777" w:rsidR="00FA5D11" w:rsidRPr="009605F6" w:rsidRDefault="00FA5D11" w:rsidP="00FA5D11">
      <w:pPr>
        <w:tabs>
          <w:tab w:val="left" w:pos="270"/>
        </w:tabs>
        <w:rPr>
          <w:rFonts w:ascii="Arial" w:hAnsi="Arial"/>
          <w:color w:val="000000"/>
          <w:sz w:val="20"/>
          <w:szCs w:val="20"/>
        </w:rPr>
      </w:pPr>
    </w:p>
    <w:p w14:paraId="3C71F395" w14:textId="77777777" w:rsidR="00FA5D11" w:rsidRPr="009605F6" w:rsidRDefault="00FA5D11" w:rsidP="00FA5D11">
      <w:pPr>
        <w:tabs>
          <w:tab w:val="left" w:pos="270"/>
        </w:tabs>
        <w:rPr>
          <w:rFonts w:ascii="Arial" w:hAnsi="Arial"/>
          <w:color w:val="000000"/>
          <w:sz w:val="20"/>
          <w:szCs w:val="20"/>
        </w:rPr>
      </w:pPr>
      <w:r w:rsidRPr="009605F6">
        <w:rPr>
          <w:rFonts w:ascii="Arial" w:hAnsi="Arial"/>
          <w:color w:val="000000"/>
          <w:sz w:val="20"/>
          <w:szCs w:val="20"/>
        </w:rPr>
        <w:t xml:space="preserve">The new global headquarters in Turin, Italy, is also a result of this added emphasis on connected farming. “Our telematics division — </w:t>
      </w:r>
      <w:hyperlink r:id="rId10" w:history="1">
        <w:r w:rsidRPr="009605F6">
          <w:rPr>
            <w:rStyle w:val="Hyperlink"/>
            <w:rFonts w:ascii="Arial" w:hAnsi="Arial"/>
            <w:sz w:val="20"/>
            <w:szCs w:val="20"/>
          </w:rPr>
          <w:t>Tierra Telematics Design</w:t>
        </w:r>
      </w:hyperlink>
      <w:r w:rsidRPr="009605F6">
        <w:rPr>
          <w:rFonts w:ascii="Arial" w:hAnsi="Arial"/>
          <w:color w:val="000000"/>
          <w:sz w:val="20"/>
          <w:szCs w:val="20"/>
        </w:rPr>
        <w:t xml:space="preserve"> — has been located in Turin since 2008 and has had great success in both the construction and agricultural markets, particularly with important OEM clients,” said Ivan Di Federico, TPG Chief Strategy Officer and now also chairman of Topcon Agriculture. “It is our objective to bring </w:t>
      </w:r>
      <w:proofErr w:type="spellStart"/>
      <w:r w:rsidRPr="009605F6">
        <w:rPr>
          <w:rFonts w:ascii="Arial" w:hAnsi="Arial"/>
          <w:color w:val="000000"/>
          <w:sz w:val="20"/>
          <w:szCs w:val="20"/>
        </w:rPr>
        <w:t>IoT</w:t>
      </w:r>
      <w:proofErr w:type="spellEnd"/>
      <w:r w:rsidRPr="009605F6">
        <w:rPr>
          <w:rFonts w:ascii="Arial" w:hAnsi="Arial"/>
          <w:color w:val="000000"/>
          <w:sz w:val="20"/>
          <w:szCs w:val="20"/>
        </w:rPr>
        <w:t xml:space="preserve"> (Internet of Things) solutions into the </w:t>
      </w:r>
      <w:proofErr w:type="spellStart"/>
      <w:proofErr w:type="gramStart"/>
      <w:r w:rsidRPr="009605F6">
        <w:rPr>
          <w:rFonts w:ascii="Arial" w:hAnsi="Arial"/>
          <w:color w:val="000000"/>
          <w:sz w:val="20"/>
          <w:szCs w:val="20"/>
        </w:rPr>
        <w:t>ag</w:t>
      </w:r>
      <w:proofErr w:type="spellEnd"/>
      <w:proofErr w:type="gramEnd"/>
      <w:r w:rsidRPr="009605F6">
        <w:rPr>
          <w:rFonts w:ascii="Arial" w:hAnsi="Arial"/>
          <w:color w:val="000000"/>
          <w:sz w:val="20"/>
          <w:szCs w:val="20"/>
        </w:rPr>
        <w:t xml:space="preserve"> business that will link all the mechanics of farming to provide a workflow automation framework necessary to achieve sustainable and profitable agriculture.”</w:t>
      </w:r>
    </w:p>
    <w:p w14:paraId="58D07039" w14:textId="77777777" w:rsidR="00FA5D11" w:rsidRPr="009605F6" w:rsidRDefault="00FA5D11" w:rsidP="00FA5D11">
      <w:pPr>
        <w:tabs>
          <w:tab w:val="left" w:pos="270"/>
        </w:tabs>
        <w:rPr>
          <w:rFonts w:ascii="Arial" w:hAnsi="Arial"/>
          <w:color w:val="000000"/>
          <w:sz w:val="20"/>
          <w:szCs w:val="20"/>
        </w:rPr>
      </w:pPr>
    </w:p>
    <w:p w14:paraId="7A9A7185" w14:textId="77777777" w:rsidR="00FA5D11" w:rsidRPr="009605F6" w:rsidRDefault="00FA5D11" w:rsidP="00FA5D11">
      <w:pPr>
        <w:tabs>
          <w:tab w:val="left" w:pos="270"/>
        </w:tabs>
        <w:rPr>
          <w:rFonts w:ascii="Arial" w:hAnsi="Arial"/>
          <w:color w:val="000000"/>
          <w:sz w:val="20"/>
          <w:szCs w:val="20"/>
        </w:rPr>
      </w:pPr>
      <w:r w:rsidRPr="009605F6">
        <w:rPr>
          <w:rFonts w:ascii="Arial" w:hAnsi="Arial"/>
          <w:color w:val="000000"/>
          <w:sz w:val="20"/>
          <w:szCs w:val="20"/>
        </w:rPr>
        <w:t xml:space="preserve">Fabio </w:t>
      </w:r>
      <w:proofErr w:type="spellStart"/>
      <w:r w:rsidRPr="009605F6">
        <w:rPr>
          <w:rFonts w:ascii="Arial" w:hAnsi="Arial"/>
          <w:color w:val="000000"/>
          <w:sz w:val="20"/>
          <w:szCs w:val="20"/>
        </w:rPr>
        <w:t>Isaia</w:t>
      </w:r>
      <w:proofErr w:type="spellEnd"/>
      <w:r w:rsidRPr="009605F6">
        <w:rPr>
          <w:rFonts w:ascii="Arial" w:hAnsi="Arial"/>
          <w:color w:val="000000"/>
          <w:sz w:val="20"/>
          <w:szCs w:val="20"/>
        </w:rPr>
        <w:t xml:space="preserve">, the former Tierra CEO will now become CEO of Topcon Agriculture. “The new </w:t>
      </w:r>
      <w:proofErr w:type="spellStart"/>
      <w:r w:rsidRPr="009605F6">
        <w:rPr>
          <w:rFonts w:ascii="Arial" w:hAnsi="Arial"/>
          <w:color w:val="000000"/>
          <w:sz w:val="20"/>
          <w:szCs w:val="20"/>
        </w:rPr>
        <w:t>ag</w:t>
      </w:r>
      <w:proofErr w:type="spellEnd"/>
      <w:r w:rsidRPr="009605F6">
        <w:rPr>
          <w:rFonts w:ascii="Arial" w:hAnsi="Arial"/>
          <w:color w:val="000000"/>
          <w:sz w:val="20"/>
          <w:szCs w:val="20"/>
        </w:rPr>
        <w:t xml:space="preserve"> paradigm is moving towards the integration of different technologies to collect data from heterogeneous sources, which is exactly where we see our business going,” </w:t>
      </w:r>
      <w:proofErr w:type="spellStart"/>
      <w:r w:rsidRPr="009605F6">
        <w:rPr>
          <w:rFonts w:ascii="Arial" w:hAnsi="Arial"/>
          <w:color w:val="000000"/>
          <w:sz w:val="20"/>
          <w:szCs w:val="20"/>
        </w:rPr>
        <w:t>Isaia</w:t>
      </w:r>
      <w:proofErr w:type="spellEnd"/>
      <w:r w:rsidRPr="009605F6">
        <w:rPr>
          <w:rFonts w:ascii="Arial" w:hAnsi="Arial"/>
          <w:color w:val="000000"/>
          <w:sz w:val="20"/>
          <w:szCs w:val="20"/>
        </w:rPr>
        <w:t xml:space="preserve"> said. “Similar to other sectors, our mission will be to mine ‘big data’ to find information that will help customers to ‘harvest’ knowledge and make educated decisions to improve their workflows and business, with valuable ROI. Furthermore, we are planning to create an eco-system that will allow our customers and their partners to integrate seamlessly any data source and data model.”</w:t>
      </w:r>
    </w:p>
    <w:p w14:paraId="2366F795" w14:textId="77777777" w:rsidR="00360DFE" w:rsidRPr="009605F6" w:rsidRDefault="00360DFE" w:rsidP="00FA5D11">
      <w:pPr>
        <w:tabs>
          <w:tab w:val="left" w:pos="270"/>
        </w:tabs>
        <w:rPr>
          <w:rFonts w:ascii="Arial" w:hAnsi="Arial"/>
          <w:color w:val="000000"/>
          <w:sz w:val="20"/>
          <w:szCs w:val="20"/>
        </w:rPr>
      </w:pPr>
    </w:p>
    <w:p w14:paraId="1201E5B8" w14:textId="77777777" w:rsidR="00FA5D11" w:rsidRPr="009605F6" w:rsidRDefault="005E26B0" w:rsidP="00FA5D11">
      <w:pPr>
        <w:tabs>
          <w:tab w:val="left" w:pos="270"/>
        </w:tabs>
        <w:rPr>
          <w:rFonts w:ascii="Arial" w:hAnsi="Arial"/>
          <w:color w:val="000000"/>
          <w:sz w:val="20"/>
          <w:szCs w:val="20"/>
        </w:rPr>
      </w:pPr>
      <w:hyperlink r:id="rId11" w:history="1">
        <w:proofErr w:type="spellStart"/>
        <w:r w:rsidR="00FA5D11" w:rsidRPr="009605F6">
          <w:rPr>
            <w:rStyle w:val="Hyperlink"/>
            <w:rFonts w:ascii="Arial" w:hAnsi="Arial"/>
            <w:sz w:val="20"/>
            <w:szCs w:val="20"/>
          </w:rPr>
          <w:t>Wachendorff</w:t>
        </w:r>
        <w:proofErr w:type="spellEnd"/>
        <w:r w:rsidR="00FA5D11" w:rsidRPr="009605F6">
          <w:rPr>
            <w:rStyle w:val="Hyperlink"/>
            <w:rFonts w:ascii="Arial" w:hAnsi="Arial"/>
            <w:sz w:val="20"/>
            <w:szCs w:val="20"/>
          </w:rPr>
          <w:t xml:space="preserve"> </w:t>
        </w:r>
        <w:proofErr w:type="spellStart"/>
        <w:r w:rsidR="00FA5D11" w:rsidRPr="009605F6">
          <w:rPr>
            <w:rStyle w:val="Hyperlink"/>
            <w:rFonts w:ascii="Arial" w:hAnsi="Arial"/>
            <w:sz w:val="20"/>
            <w:szCs w:val="20"/>
          </w:rPr>
          <w:t>Elektronik</w:t>
        </w:r>
        <w:proofErr w:type="spellEnd"/>
      </w:hyperlink>
      <w:r w:rsidR="00FA5D11" w:rsidRPr="009605F6">
        <w:rPr>
          <w:rFonts w:ascii="Arial" w:hAnsi="Arial"/>
          <w:color w:val="000000"/>
          <w:sz w:val="20"/>
          <w:szCs w:val="20"/>
        </w:rPr>
        <w:t xml:space="preserve">, a recognized global leader in the design and manufacturing of in-cab display for off-highway equipment located in </w:t>
      </w:r>
      <w:proofErr w:type="spellStart"/>
      <w:r w:rsidR="00FA5D11" w:rsidRPr="009605F6">
        <w:rPr>
          <w:rFonts w:ascii="Arial" w:hAnsi="Arial"/>
          <w:color w:val="000000"/>
          <w:sz w:val="20"/>
          <w:szCs w:val="20"/>
        </w:rPr>
        <w:t>Geisenheim</w:t>
      </w:r>
      <w:proofErr w:type="spellEnd"/>
      <w:r w:rsidR="00FA5D11" w:rsidRPr="009605F6">
        <w:rPr>
          <w:rFonts w:ascii="Arial" w:hAnsi="Arial"/>
          <w:color w:val="000000"/>
          <w:sz w:val="20"/>
          <w:szCs w:val="20"/>
        </w:rPr>
        <w:t xml:space="preserve">, Germany, will expand its capabilities and become the primary manufacturing location for the entire Agriculture Group.  </w:t>
      </w:r>
    </w:p>
    <w:p w14:paraId="6DD6749F" w14:textId="77777777" w:rsidR="00FA5D11" w:rsidRPr="009605F6" w:rsidRDefault="00FA5D11" w:rsidP="00FA5D11">
      <w:pPr>
        <w:tabs>
          <w:tab w:val="left" w:pos="270"/>
        </w:tabs>
        <w:rPr>
          <w:rFonts w:ascii="Arial" w:hAnsi="Arial"/>
          <w:color w:val="000000"/>
          <w:sz w:val="20"/>
          <w:szCs w:val="20"/>
        </w:rPr>
      </w:pPr>
    </w:p>
    <w:p w14:paraId="5744DB1E" w14:textId="77777777" w:rsidR="00FA5D11" w:rsidRPr="009605F6" w:rsidRDefault="00FA5D11" w:rsidP="00FA5D11">
      <w:pPr>
        <w:tabs>
          <w:tab w:val="left" w:pos="270"/>
        </w:tabs>
        <w:rPr>
          <w:rFonts w:ascii="Arial" w:hAnsi="Arial"/>
          <w:color w:val="000000"/>
          <w:sz w:val="20"/>
          <w:szCs w:val="20"/>
        </w:rPr>
      </w:pPr>
      <w:r w:rsidRPr="009605F6">
        <w:rPr>
          <w:rFonts w:ascii="Arial" w:hAnsi="Arial"/>
          <w:color w:val="000000"/>
          <w:sz w:val="20"/>
          <w:szCs w:val="20"/>
        </w:rPr>
        <w:t xml:space="preserve">Albert </w:t>
      </w:r>
      <w:proofErr w:type="spellStart"/>
      <w:r w:rsidRPr="009605F6">
        <w:rPr>
          <w:rFonts w:ascii="Arial" w:hAnsi="Arial"/>
          <w:color w:val="000000"/>
          <w:sz w:val="20"/>
          <w:szCs w:val="20"/>
        </w:rPr>
        <w:t>Zahalka</w:t>
      </w:r>
      <w:proofErr w:type="spellEnd"/>
      <w:r w:rsidRPr="009605F6">
        <w:rPr>
          <w:rFonts w:ascii="Arial" w:hAnsi="Arial"/>
          <w:color w:val="000000"/>
          <w:sz w:val="20"/>
          <w:szCs w:val="20"/>
        </w:rPr>
        <w:t>, who has been president of Topcon Precision Agriculture since 2010 and is now also COO of Topcon Agriculture, said, “</w:t>
      </w:r>
      <w:hyperlink r:id="rId12" w:history="1">
        <w:proofErr w:type="spellStart"/>
        <w:r w:rsidRPr="009605F6">
          <w:rPr>
            <w:rStyle w:val="Hyperlink"/>
            <w:rFonts w:ascii="Arial" w:hAnsi="Arial"/>
            <w:sz w:val="20"/>
            <w:szCs w:val="20"/>
          </w:rPr>
          <w:t>Digi</w:t>
        </w:r>
        <w:proofErr w:type="spellEnd"/>
        <w:r w:rsidRPr="009605F6">
          <w:rPr>
            <w:rStyle w:val="Hyperlink"/>
            <w:rFonts w:ascii="Arial" w:hAnsi="Arial"/>
            <w:sz w:val="20"/>
            <w:szCs w:val="20"/>
          </w:rPr>
          <w:t>-Star</w:t>
        </w:r>
      </w:hyperlink>
      <w:r w:rsidRPr="009605F6">
        <w:rPr>
          <w:rFonts w:ascii="Arial" w:hAnsi="Arial"/>
          <w:color w:val="000000"/>
          <w:sz w:val="20"/>
          <w:szCs w:val="20"/>
        </w:rPr>
        <w:t xml:space="preserve"> has been a great addition to our company, and now as regional headquarters, will continue to supply its leading weighing, feed and farm management solutions, along with centralized sales and support for our distributors and OEM partners. We are very excited to have our North American regional headquarters located in its agricultural heartland. </w:t>
      </w:r>
    </w:p>
    <w:p w14:paraId="0796E259" w14:textId="77777777" w:rsidR="00FA5D11" w:rsidRPr="009605F6" w:rsidRDefault="00FA5D11" w:rsidP="00FA5D11">
      <w:pPr>
        <w:tabs>
          <w:tab w:val="left" w:pos="270"/>
        </w:tabs>
        <w:rPr>
          <w:rFonts w:ascii="Arial" w:hAnsi="Arial"/>
          <w:color w:val="000000"/>
          <w:sz w:val="20"/>
          <w:szCs w:val="20"/>
        </w:rPr>
      </w:pPr>
    </w:p>
    <w:p w14:paraId="427618A5" w14:textId="76838A20" w:rsidR="00FA5D11" w:rsidRPr="009605F6" w:rsidRDefault="00FA5D11" w:rsidP="00FA5D11">
      <w:pPr>
        <w:tabs>
          <w:tab w:val="left" w:pos="270"/>
        </w:tabs>
        <w:rPr>
          <w:rFonts w:ascii="Arial" w:hAnsi="Arial"/>
          <w:color w:val="000000"/>
          <w:sz w:val="20"/>
          <w:szCs w:val="20"/>
        </w:rPr>
      </w:pPr>
      <w:r w:rsidRPr="009605F6">
        <w:rPr>
          <w:rFonts w:ascii="Arial" w:hAnsi="Arial"/>
          <w:color w:val="000000"/>
          <w:sz w:val="20"/>
          <w:szCs w:val="20"/>
        </w:rPr>
        <w:t>“</w:t>
      </w:r>
      <w:hyperlink r:id="rId13" w:history="1">
        <w:r w:rsidRPr="009605F6">
          <w:rPr>
            <w:rStyle w:val="Hyperlink"/>
            <w:rFonts w:ascii="Arial" w:hAnsi="Arial"/>
            <w:sz w:val="20"/>
            <w:szCs w:val="20"/>
          </w:rPr>
          <w:t>NORAC Systems</w:t>
        </w:r>
      </w:hyperlink>
      <w:r w:rsidRPr="009605F6">
        <w:rPr>
          <w:rFonts w:ascii="Arial" w:hAnsi="Arial"/>
          <w:color w:val="000000"/>
          <w:sz w:val="20"/>
          <w:szCs w:val="20"/>
        </w:rPr>
        <w:t xml:space="preserve">, with its best-in-class boom height control systems,” </w:t>
      </w:r>
      <w:proofErr w:type="spellStart"/>
      <w:r w:rsidRPr="009605F6">
        <w:rPr>
          <w:rFonts w:ascii="Arial" w:hAnsi="Arial"/>
          <w:color w:val="000000"/>
          <w:sz w:val="20"/>
          <w:szCs w:val="20"/>
        </w:rPr>
        <w:t>Zahalka</w:t>
      </w:r>
      <w:proofErr w:type="spellEnd"/>
      <w:r w:rsidRPr="009605F6">
        <w:rPr>
          <w:rFonts w:ascii="Arial" w:hAnsi="Arial"/>
          <w:color w:val="000000"/>
          <w:sz w:val="20"/>
          <w:szCs w:val="20"/>
        </w:rPr>
        <w:t xml:space="preserve"> said, “and the intelligent measurement systems produced by </w:t>
      </w:r>
      <w:hyperlink r:id="rId14" w:history="1">
        <w:r w:rsidRPr="009605F6">
          <w:rPr>
            <w:rStyle w:val="Hyperlink"/>
            <w:rFonts w:ascii="Arial" w:hAnsi="Arial"/>
            <w:sz w:val="20"/>
            <w:szCs w:val="20"/>
          </w:rPr>
          <w:t>RDS Technology</w:t>
        </w:r>
      </w:hyperlink>
      <w:r w:rsidRPr="009605F6">
        <w:rPr>
          <w:rFonts w:ascii="Arial" w:hAnsi="Arial"/>
          <w:color w:val="000000"/>
          <w:sz w:val="20"/>
          <w:szCs w:val="20"/>
        </w:rPr>
        <w:t xml:space="preserve"> will continue to mainly provide core technologies and solutions to the global OEM markets.” </w:t>
      </w:r>
    </w:p>
    <w:p w14:paraId="479C4124" w14:textId="77777777" w:rsidR="00FA5D11" w:rsidRPr="009605F6" w:rsidRDefault="00FA5D11" w:rsidP="00FA5D11">
      <w:pPr>
        <w:tabs>
          <w:tab w:val="left" w:pos="270"/>
        </w:tabs>
        <w:rPr>
          <w:rFonts w:ascii="Arial" w:hAnsi="Arial"/>
          <w:color w:val="000000"/>
          <w:sz w:val="20"/>
          <w:szCs w:val="20"/>
        </w:rPr>
      </w:pPr>
    </w:p>
    <w:p w14:paraId="4C14732C" w14:textId="77777777" w:rsidR="00FA5D11" w:rsidRPr="009605F6" w:rsidRDefault="00FA5D11" w:rsidP="00FA5D11">
      <w:pPr>
        <w:tabs>
          <w:tab w:val="left" w:pos="270"/>
        </w:tabs>
        <w:rPr>
          <w:rFonts w:ascii="Arial" w:hAnsi="Arial"/>
          <w:color w:val="000000"/>
          <w:sz w:val="20"/>
          <w:szCs w:val="20"/>
        </w:rPr>
      </w:pPr>
      <w:proofErr w:type="spellStart"/>
      <w:r w:rsidRPr="009605F6">
        <w:rPr>
          <w:rFonts w:ascii="Arial" w:hAnsi="Arial"/>
          <w:color w:val="000000"/>
          <w:sz w:val="20"/>
          <w:szCs w:val="20"/>
        </w:rPr>
        <w:t>Isaia</w:t>
      </w:r>
      <w:proofErr w:type="spellEnd"/>
      <w:r w:rsidRPr="009605F6">
        <w:rPr>
          <w:rFonts w:ascii="Arial" w:hAnsi="Arial"/>
          <w:color w:val="000000"/>
          <w:sz w:val="20"/>
          <w:szCs w:val="20"/>
        </w:rPr>
        <w:t xml:space="preserve"> said, “Together with </w:t>
      </w:r>
      <w:proofErr w:type="spellStart"/>
      <w:r w:rsidRPr="009605F6">
        <w:rPr>
          <w:rFonts w:ascii="Arial" w:hAnsi="Arial"/>
          <w:color w:val="000000"/>
          <w:sz w:val="20"/>
          <w:szCs w:val="20"/>
        </w:rPr>
        <w:t>Wachendorff</w:t>
      </w:r>
      <w:proofErr w:type="spellEnd"/>
      <w:r w:rsidRPr="009605F6">
        <w:rPr>
          <w:rFonts w:ascii="Arial" w:hAnsi="Arial"/>
          <w:color w:val="000000"/>
          <w:sz w:val="20"/>
          <w:szCs w:val="20"/>
        </w:rPr>
        <w:t xml:space="preserve">, </w:t>
      </w:r>
      <w:proofErr w:type="spellStart"/>
      <w:r w:rsidRPr="009605F6">
        <w:rPr>
          <w:rFonts w:ascii="Arial" w:hAnsi="Arial"/>
          <w:color w:val="000000"/>
          <w:sz w:val="20"/>
          <w:szCs w:val="20"/>
        </w:rPr>
        <w:t>Digi</w:t>
      </w:r>
      <w:proofErr w:type="spellEnd"/>
      <w:r w:rsidRPr="009605F6">
        <w:rPr>
          <w:rFonts w:ascii="Arial" w:hAnsi="Arial"/>
          <w:color w:val="000000"/>
          <w:sz w:val="20"/>
          <w:szCs w:val="20"/>
        </w:rPr>
        <w:t>-Star, NORAC and RDS, we can count on a vast and comprehensive products portfolio that will become smartly connected to the new Topcon Agriculture eco-system, to source information that’s the core of all augmented agricultural services we’ll offer to our customers.”</w:t>
      </w:r>
    </w:p>
    <w:p w14:paraId="3EEC8C13" w14:textId="77777777" w:rsidR="009605F6" w:rsidRPr="009605F6" w:rsidRDefault="009605F6" w:rsidP="00FA5D11">
      <w:pPr>
        <w:tabs>
          <w:tab w:val="left" w:pos="270"/>
        </w:tabs>
        <w:rPr>
          <w:rFonts w:ascii="Arial" w:hAnsi="Arial"/>
          <w:color w:val="000000"/>
          <w:sz w:val="20"/>
          <w:szCs w:val="20"/>
        </w:rPr>
      </w:pPr>
      <w:bookmarkStart w:id="0" w:name="_GoBack"/>
      <w:bookmarkEnd w:id="0"/>
    </w:p>
    <w:p w14:paraId="58F279B6" w14:textId="479348EF" w:rsidR="00FA5D11" w:rsidRPr="009605F6" w:rsidRDefault="00FA5D11" w:rsidP="00FA5D11">
      <w:pPr>
        <w:tabs>
          <w:tab w:val="left" w:pos="270"/>
        </w:tabs>
        <w:rPr>
          <w:rFonts w:ascii="Arial" w:hAnsi="Arial"/>
          <w:color w:val="000000"/>
          <w:sz w:val="20"/>
          <w:szCs w:val="20"/>
        </w:rPr>
      </w:pPr>
      <w:r w:rsidRPr="009605F6">
        <w:rPr>
          <w:rFonts w:ascii="Arial" w:hAnsi="Arial"/>
          <w:color w:val="000000"/>
          <w:sz w:val="20"/>
          <w:szCs w:val="20"/>
        </w:rPr>
        <w:t>O’Connor said, “This new business model greatly broadens the scope of our investment in the global agricultural markets. It will re-center our operational structure to make a strong push into the growing European aftermarket and OEM business, while further developing our investment in the agricultural heartland of North America. It will create new efficiencies in R&amp;D, engineering and manufacturing, while streamlining our abilities to continue to grow our other core businesses.”</w:t>
      </w:r>
    </w:p>
    <w:p w14:paraId="449FEE36" w14:textId="77777777" w:rsidR="00FA5D11" w:rsidRPr="00FA5D11" w:rsidRDefault="00FA5D11" w:rsidP="00FA5D11">
      <w:pPr>
        <w:tabs>
          <w:tab w:val="left" w:pos="270"/>
        </w:tabs>
        <w:rPr>
          <w:rFonts w:ascii="Arial" w:hAnsi="Arial"/>
          <w:color w:val="000000"/>
          <w:sz w:val="20"/>
          <w:szCs w:val="20"/>
        </w:rPr>
      </w:pPr>
    </w:p>
    <w:p w14:paraId="3AF5639C" w14:textId="157BACC6" w:rsidR="006456AE" w:rsidRPr="00360DFE" w:rsidRDefault="007530F6" w:rsidP="00FA5D11">
      <w:pPr>
        <w:tabs>
          <w:tab w:val="left" w:pos="270"/>
        </w:tabs>
        <w:jc w:val="center"/>
        <w:rPr>
          <w:rFonts w:ascii="Arial" w:hAnsi="Arial"/>
          <w:i/>
          <w:color w:val="000000"/>
          <w:sz w:val="22"/>
          <w:szCs w:val="22"/>
        </w:rPr>
      </w:pPr>
      <w:r w:rsidRPr="00360DFE">
        <w:rPr>
          <w:rFonts w:ascii="Arial" w:hAnsi="Arial" w:cs="Arial"/>
          <w:i/>
          <w:sz w:val="18"/>
          <w:szCs w:val="18"/>
        </w:rPr>
        <w:t># # #</w:t>
      </w:r>
    </w:p>
    <w:p w14:paraId="67DEA705" w14:textId="77777777" w:rsidR="00D70AF0" w:rsidRPr="00C81D46" w:rsidRDefault="00D70AF0" w:rsidP="00E07F73">
      <w:pPr>
        <w:tabs>
          <w:tab w:val="left" w:pos="270"/>
        </w:tabs>
        <w:jc w:val="center"/>
        <w:rPr>
          <w:rFonts w:ascii="Arial" w:hAnsi="Arial" w:cs="Arial"/>
          <w:sz w:val="16"/>
          <w:szCs w:val="18"/>
        </w:rPr>
      </w:pPr>
    </w:p>
    <w:p w14:paraId="3063E94E" w14:textId="2E834EBE" w:rsidR="00C725ED" w:rsidRPr="00FA5D11" w:rsidRDefault="001855FB" w:rsidP="00E07F73">
      <w:pPr>
        <w:tabs>
          <w:tab w:val="left" w:pos="270"/>
        </w:tabs>
        <w:rPr>
          <w:rFonts w:ascii="Arial" w:hAnsi="Arial"/>
          <w:color w:val="808080" w:themeColor="background1" w:themeShade="80"/>
          <w:sz w:val="18"/>
          <w:szCs w:val="18"/>
        </w:rPr>
      </w:pPr>
      <w:r w:rsidRPr="00FA5D11">
        <w:rPr>
          <w:rFonts w:ascii="Arial" w:hAnsi="Arial"/>
          <w:b/>
          <w:color w:val="808080" w:themeColor="background1" w:themeShade="80"/>
          <w:sz w:val="18"/>
          <w:szCs w:val="18"/>
        </w:rPr>
        <w:t>About Topcon Positioning Group</w:t>
      </w:r>
      <w:r w:rsidRPr="00FA5D11">
        <w:rPr>
          <w:rFonts w:ascii="Arial" w:hAnsi="Arial"/>
          <w:b/>
          <w:color w:val="808080" w:themeColor="background1" w:themeShade="80"/>
          <w:sz w:val="18"/>
          <w:szCs w:val="18"/>
        </w:rPr>
        <w:br/>
      </w:r>
      <w:r w:rsidR="00FA5D11" w:rsidRPr="00FA5D11">
        <w:rPr>
          <w:rFonts w:ascii="Arial" w:hAnsi="Arial"/>
          <w:color w:val="808080" w:themeColor="background1" w:themeShade="80"/>
          <w:sz w:val="18"/>
          <w:szCs w:val="18"/>
        </w:rPr>
        <w:t>Topcon Positioning Group is headquartered in Livermore, California, USA (</w:t>
      </w:r>
      <w:hyperlink r:id="rId15" w:history="1">
        <w:r w:rsidR="00FA5D11" w:rsidRPr="00FA5D11">
          <w:rPr>
            <w:rStyle w:val="Hyperlink"/>
            <w:rFonts w:ascii="Arial" w:hAnsi="Arial"/>
            <w:sz w:val="18"/>
            <w:szCs w:val="18"/>
          </w:rPr>
          <w:t>topconpositioning.com</w:t>
        </w:r>
      </w:hyperlink>
      <w:r w:rsidR="00FA5D11" w:rsidRPr="00FA5D11">
        <w:rPr>
          <w:rFonts w:ascii="Arial" w:hAnsi="Arial"/>
          <w:color w:val="808080" w:themeColor="background1" w:themeShade="80"/>
          <w:sz w:val="18"/>
          <w:szCs w:val="18"/>
        </w:rPr>
        <w:t xml:space="preserve">). Its European head office is in </w:t>
      </w:r>
      <w:proofErr w:type="spellStart"/>
      <w:r w:rsidR="00FA5D11" w:rsidRPr="00FA5D11">
        <w:rPr>
          <w:rFonts w:ascii="Arial" w:hAnsi="Arial"/>
          <w:color w:val="808080" w:themeColor="background1" w:themeShade="80"/>
          <w:sz w:val="18"/>
          <w:szCs w:val="18"/>
        </w:rPr>
        <w:t>Capelle</w:t>
      </w:r>
      <w:proofErr w:type="spellEnd"/>
      <w:r w:rsidR="00FA5D11" w:rsidRPr="00FA5D11">
        <w:rPr>
          <w:rFonts w:ascii="Arial" w:hAnsi="Arial"/>
          <w:color w:val="808080" w:themeColor="background1" w:themeShade="80"/>
          <w:sz w:val="18"/>
          <w:szCs w:val="18"/>
        </w:rPr>
        <w:t xml:space="preserve"> </w:t>
      </w:r>
      <w:proofErr w:type="spellStart"/>
      <w:r w:rsidR="00FA5D11" w:rsidRPr="00FA5D11">
        <w:rPr>
          <w:rFonts w:ascii="Arial" w:hAnsi="Arial"/>
          <w:color w:val="808080" w:themeColor="background1" w:themeShade="80"/>
          <w:sz w:val="18"/>
          <w:szCs w:val="18"/>
        </w:rPr>
        <w:t>a/d</w:t>
      </w:r>
      <w:proofErr w:type="spellEnd"/>
      <w:r w:rsidR="00FA5D11" w:rsidRPr="00FA5D11">
        <w:rPr>
          <w:rFonts w:ascii="Arial" w:hAnsi="Arial"/>
          <w:color w:val="808080" w:themeColor="background1" w:themeShade="80"/>
          <w:sz w:val="18"/>
          <w:szCs w:val="18"/>
        </w:rPr>
        <w:t xml:space="preserve"> </w:t>
      </w:r>
      <w:proofErr w:type="spellStart"/>
      <w:r w:rsidR="00FA5D11" w:rsidRPr="00FA5D11">
        <w:rPr>
          <w:rFonts w:ascii="Arial" w:hAnsi="Arial"/>
          <w:color w:val="808080" w:themeColor="background1" w:themeShade="80"/>
          <w:sz w:val="18"/>
          <w:szCs w:val="18"/>
        </w:rPr>
        <w:t>IJssel</w:t>
      </w:r>
      <w:proofErr w:type="spellEnd"/>
      <w:r w:rsidR="00FA5D11" w:rsidRPr="00FA5D11">
        <w:rPr>
          <w:rFonts w:ascii="Arial" w:hAnsi="Arial"/>
          <w:color w:val="808080" w:themeColor="background1" w:themeShade="80"/>
          <w:sz w:val="18"/>
          <w:szCs w:val="18"/>
        </w:rPr>
        <w:t>, the Netherlands (</w:t>
      </w:r>
      <w:hyperlink r:id="rId16" w:history="1">
        <w:r w:rsidR="00FA5D11" w:rsidRPr="00FA5D11">
          <w:rPr>
            <w:rStyle w:val="Hyperlink"/>
            <w:rFonts w:ascii="Arial" w:hAnsi="Arial"/>
            <w:sz w:val="18"/>
            <w:szCs w:val="18"/>
          </w:rPr>
          <w:t>topconpositioning.eu</w:t>
        </w:r>
      </w:hyperlink>
      <w:r w:rsidR="00FA5D11" w:rsidRPr="00FA5D11">
        <w:rPr>
          <w:rFonts w:ascii="Arial" w:hAnsi="Arial"/>
          <w:color w:val="808080" w:themeColor="background1" w:themeShade="80"/>
          <w:sz w:val="18"/>
          <w:szCs w:val="18"/>
        </w:rPr>
        <w:t xml:space="preserve">). Topcon Positioning Group designs, manufactures and distributes precise positioning products and solutions for the global surveying, construction, agriculture, civil engineering, BIM, mapping and GIS, asset management and mobile control markets.  Its brands include Topcon, Sokkia, Tierra, </w:t>
      </w:r>
      <w:proofErr w:type="spellStart"/>
      <w:r w:rsidR="00FA5D11" w:rsidRPr="00FA5D11">
        <w:rPr>
          <w:rFonts w:ascii="Arial" w:hAnsi="Arial"/>
          <w:color w:val="808080" w:themeColor="background1" w:themeShade="80"/>
          <w:sz w:val="18"/>
          <w:szCs w:val="18"/>
        </w:rPr>
        <w:t>Wachendorff</w:t>
      </w:r>
      <w:proofErr w:type="spellEnd"/>
      <w:r w:rsidR="00FA5D11" w:rsidRPr="00FA5D11">
        <w:rPr>
          <w:rFonts w:ascii="Arial" w:hAnsi="Arial"/>
          <w:color w:val="808080" w:themeColor="background1" w:themeShade="80"/>
          <w:sz w:val="18"/>
          <w:szCs w:val="18"/>
        </w:rPr>
        <w:t xml:space="preserve"> </w:t>
      </w:r>
      <w:proofErr w:type="spellStart"/>
      <w:r w:rsidR="00FA5D11" w:rsidRPr="00FA5D11">
        <w:rPr>
          <w:rFonts w:ascii="Arial" w:hAnsi="Arial"/>
          <w:color w:val="808080" w:themeColor="background1" w:themeShade="80"/>
          <w:sz w:val="18"/>
          <w:szCs w:val="18"/>
        </w:rPr>
        <w:t>Elektronik</w:t>
      </w:r>
      <w:proofErr w:type="spellEnd"/>
      <w:r w:rsidR="00FA5D11" w:rsidRPr="00FA5D11">
        <w:rPr>
          <w:rFonts w:ascii="Arial" w:hAnsi="Arial"/>
          <w:color w:val="808080" w:themeColor="background1" w:themeShade="80"/>
          <w:sz w:val="18"/>
          <w:szCs w:val="18"/>
        </w:rPr>
        <w:t xml:space="preserve">, </w:t>
      </w:r>
      <w:proofErr w:type="spellStart"/>
      <w:r w:rsidR="00FA5D11" w:rsidRPr="00FA5D11">
        <w:rPr>
          <w:rFonts w:ascii="Arial" w:hAnsi="Arial"/>
          <w:color w:val="808080" w:themeColor="background1" w:themeShade="80"/>
          <w:sz w:val="18"/>
          <w:szCs w:val="18"/>
        </w:rPr>
        <w:t>Digi</w:t>
      </w:r>
      <w:proofErr w:type="spellEnd"/>
      <w:r w:rsidR="00FA5D11" w:rsidRPr="00FA5D11">
        <w:rPr>
          <w:rFonts w:ascii="Arial" w:hAnsi="Arial"/>
          <w:color w:val="808080" w:themeColor="background1" w:themeShade="80"/>
          <w:sz w:val="18"/>
          <w:szCs w:val="18"/>
        </w:rPr>
        <w:t>-Star, RDS Technology, NORAC and 2LS. Topcon Corporation (</w:t>
      </w:r>
      <w:hyperlink r:id="rId17" w:history="1">
        <w:r w:rsidR="00FA5D11" w:rsidRPr="00FA5D11">
          <w:rPr>
            <w:rStyle w:val="Hyperlink"/>
            <w:rFonts w:ascii="Arial" w:hAnsi="Arial"/>
            <w:sz w:val="18"/>
            <w:szCs w:val="18"/>
          </w:rPr>
          <w:t>topcon.com</w:t>
        </w:r>
      </w:hyperlink>
      <w:r w:rsidR="00FA5D11" w:rsidRPr="00FA5D11">
        <w:rPr>
          <w:rFonts w:ascii="Arial" w:hAnsi="Arial"/>
          <w:color w:val="808080" w:themeColor="background1" w:themeShade="80"/>
          <w:sz w:val="18"/>
          <w:szCs w:val="18"/>
        </w:rPr>
        <w:t>), founded in 1932, is traded on the Tokyo Stock Exchange (7732). </w:t>
      </w:r>
    </w:p>
    <w:p w14:paraId="642CFEA9" w14:textId="77777777" w:rsidR="00FA5D11" w:rsidRPr="00FA5D11" w:rsidRDefault="00FA5D11" w:rsidP="00E07F73">
      <w:pPr>
        <w:tabs>
          <w:tab w:val="left" w:pos="270"/>
        </w:tabs>
        <w:rPr>
          <w:rFonts w:ascii="Arial" w:hAnsi="Arial"/>
          <w:b/>
          <w:color w:val="808080" w:themeColor="background1" w:themeShade="80"/>
          <w:sz w:val="18"/>
          <w:szCs w:val="18"/>
        </w:rPr>
      </w:pPr>
    </w:p>
    <w:p w14:paraId="73C59904" w14:textId="77777777" w:rsidR="00EB1000" w:rsidRPr="00FA5D11" w:rsidRDefault="00EB1000" w:rsidP="00E07F73">
      <w:pPr>
        <w:tabs>
          <w:tab w:val="left" w:pos="270"/>
        </w:tabs>
        <w:rPr>
          <w:rFonts w:ascii="Arial" w:hAnsi="Arial"/>
          <w:b/>
          <w:color w:val="808080" w:themeColor="background1" w:themeShade="80"/>
          <w:sz w:val="18"/>
          <w:szCs w:val="18"/>
        </w:rPr>
      </w:pPr>
      <w:r w:rsidRPr="00FA5D11">
        <w:rPr>
          <w:rFonts w:ascii="Arial" w:hAnsi="Arial"/>
          <w:b/>
          <w:color w:val="808080" w:themeColor="background1" w:themeShade="80"/>
          <w:sz w:val="18"/>
          <w:szCs w:val="18"/>
        </w:rPr>
        <w:t>Press Information</w:t>
      </w:r>
    </w:p>
    <w:p w14:paraId="7E8C364B" w14:textId="3CE97EB4" w:rsidR="007530F6" w:rsidRPr="00FA5D11" w:rsidRDefault="007530F6" w:rsidP="00E07F73">
      <w:pPr>
        <w:tabs>
          <w:tab w:val="left" w:pos="270"/>
        </w:tabs>
        <w:rPr>
          <w:rFonts w:ascii="Arial" w:hAnsi="Arial"/>
          <w:color w:val="666666"/>
          <w:sz w:val="18"/>
          <w:szCs w:val="18"/>
        </w:rPr>
      </w:pPr>
      <w:r w:rsidRPr="00FA5D11">
        <w:rPr>
          <w:rFonts w:ascii="Arial" w:hAnsi="Arial"/>
          <w:color w:val="808080" w:themeColor="background1" w:themeShade="80"/>
          <w:sz w:val="18"/>
          <w:szCs w:val="18"/>
        </w:rPr>
        <w:t xml:space="preserve">Topcon Positioning </w:t>
      </w:r>
      <w:r w:rsidRPr="00FA5D11">
        <w:rPr>
          <w:rFonts w:ascii="Arial" w:hAnsi="Arial"/>
          <w:color w:val="666666"/>
          <w:sz w:val="18"/>
          <w:szCs w:val="18"/>
        </w:rPr>
        <w:t>Group</w:t>
      </w:r>
    </w:p>
    <w:p w14:paraId="666F55C7" w14:textId="6EA2787D" w:rsidR="00F0754B" w:rsidRPr="00FA5D11" w:rsidRDefault="005E26B0" w:rsidP="00E07F73">
      <w:pPr>
        <w:tabs>
          <w:tab w:val="left" w:pos="270"/>
        </w:tabs>
        <w:rPr>
          <w:rFonts w:ascii="Arial" w:hAnsi="Arial"/>
          <w:color w:val="666666"/>
          <w:sz w:val="18"/>
          <w:szCs w:val="18"/>
        </w:rPr>
      </w:pPr>
      <w:hyperlink r:id="rId18" w:history="1">
        <w:r w:rsidR="00F0754B" w:rsidRPr="00FA5D11">
          <w:rPr>
            <w:rStyle w:val="Hyperlink"/>
            <w:rFonts w:ascii="Arial" w:hAnsi="Arial"/>
            <w:sz w:val="18"/>
            <w:szCs w:val="18"/>
          </w:rPr>
          <w:t>CorpComm@topcon.com</w:t>
        </w:r>
      </w:hyperlink>
    </w:p>
    <w:p w14:paraId="37C04793" w14:textId="77777777" w:rsidR="00EB1000" w:rsidRPr="00FA5D11" w:rsidRDefault="00EB1000" w:rsidP="00E07F73">
      <w:pPr>
        <w:tabs>
          <w:tab w:val="left" w:pos="270"/>
        </w:tabs>
        <w:rPr>
          <w:rFonts w:ascii="Arial" w:hAnsi="Arial"/>
          <w:color w:val="808080" w:themeColor="background1" w:themeShade="80"/>
          <w:sz w:val="18"/>
          <w:szCs w:val="18"/>
        </w:rPr>
      </w:pPr>
      <w:r w:rsidRPr="00FA5D11">
        <w:rPr>
          <w:rFonts w:ascii="Arial" w:hAnsi="Arial"/>
          <w:color w:val="808080" w:themeColor="background1" w:themeShade="80"/>
          <w:sz w:val="18"/>
          <w:szCs w:val="18"/>
        </w:rPr>
        <w:t xml:space="preserve">USA: Staci Fitzgerald, </w:t>
      </w:r>
      <w:r w:rsidR="00FD032D" w:rsidRPr="00FA5D11">
        <w:rPr>
          <w:rFonts w:ascii="Arial" w:hAnsi="Arial"/>
          <w:color w:val="808080" w:themeColor="background1" w:themeShade="80"/>
          <w:sz w:val="18"/>
          <w:szCs w:val="18"/>
        </w:rPr>
        <w:t xml:space="preserve">+1 </w:t>
      </w:r>
      <w:r w:rsidRPr="00FA5D11">
        <w:rPr>
          <w:rFonts w:ascii="Arial" w:hAnsi="Arial"/>
          <w:color w:val="808080" w:themeColor="background1" w:themeShade="80"/>
          <w:sz w:val="18"/>
          <w:szCs w:val="18"/>
        </w:rPr>
        <w:t>925-245-8610</w:t>
      </w:r>
    </w:p>
    <w:p w14:paraId="658FC267" w14:textId="2D3295ED" w:rsidR="00853C9A" w:rsidRPr="00FA5D11" w:rsidRDefault="00EB1000" w:rsidP="00C81D46">
      <w:pPr>
        <w:tabs>
          <w:tab w:val="left" w:pos="270"/>
        </w:tabs>
        <w:rPr>
          <w:rFonts w:ascii="Arial" w:hAnsi="Arial"/>
          <w:color w:val="808080" w:themeColor="background1" w:themeShade="80"/>
          <w:sz w:val="18"/>
          <w:szCs w:val="18"/>
        </w:rPr>
      </w:pPr>
      <w:r w:rsidRPr="00FA5D11">
        <w:rPr>
          <w:rFonts w:ascii="Arial" w:hAnsi="Arial"/>
          <w:color w:val="808080" w:themeColor="background1" w:themeShade="80"/>
          <w:sz w:val="18"/>
          <w:szCs w:val="18"/>
        </w:rPr>
        <w:t>Europe: Stuart Proctor</w:t>
      </w:r>
      <w:r w:rsidR="00FA5D11" w:rsidRPr="00FA5D11">
        <w:rPr>
          <w:rFonts w:ascii="Arial" w:hAnsi="Arial"/>
          <w:color w:val="808080" w:themeColor="background1" w:themeShade="80"/>
          <w:sz w:val="18"/>
          <w:szCs w:val="18"/>
        </w:rPr>
        <w:t>,</w:t>
      </w:r>
      <w:r w:rsidR="00FD032D" w:rsidRPr="00FA5D11">
        <w:rPr>
          <w:rFonts w:ascii="Arial" w:hAnsi="Arial"/>
          <w:color w:val="808080" w:themeColor="background1" w:themeShade="80"/>
          <w:sz w:val="18"/>
          <w:szCs w:val="18"/>
        </w:rPr>
        <w:t xml:space="preserve"> +31 10 458 50 77</w:t>
      </w:r>
    </w:p>
    <w:sectPr w:rsidR="00853C9A" w:rsidRPr="00FA5D11" w:rsidSect="009605F6">
      <w:headerReference w:type="even" r:id="rId19"/>
      <w:headerReference w:type="default" r:id="rId20"/>
      <w:footerReference w:type="even" r:id="rId21"/>
      <w:footerReference w:type="default" r:id="rId22"/>
      <w:headerReference w:type="first" r:id="rId23"/>
      <w:footerReference w:type="first" r:id="rId24"/>
      <w:pgSz w:w="12240" w:h="15840"/>
      <w:pgMar w:top="1800" w:right="1440" w:bottom="1008" w:left="1440" w:header="360" w:footer="720" w:gutter="0"/>
      <w:cols w:space="720"/>
      <w:titlePg/>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C23325F" w14:textId="77777777" w:rsidR="00551138" w:rsidRDefault="00551138">
      <w:r>
        <w:separator/>
      </w:r>
    </w:p>
  </w:endnote>
  <w:endnote w:type="continuationSeparator" w:id="0">
    <w:p w14:paraId="3113E5B5" w14:textId="77777777" w:rsidR="00551138" w:rsidRDefault="0055113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00000003" w:usb1="00000000" w:usb2="00000000" w:usb3="00000000" w:csb0="00000001" w:csb1="00000000"/>
  </w:font>
  <w:font w:name="MS Mincho">
    <w:altName w:val="ＭＳ 明朝"/>
    <w:charset w:val="80"/>
    <w:family w:val="modern"/>
    <w:pitch w:val="fixed"/>
    <w:sig w:usb0="E00002FF" w:usb1="6AC7FDFB" w:usb2="00000012" w:usb3="00000000" w:csb0="0002009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00000003" w:usb1="00000000" w:usb2="00000000" w:usb3="00000000" w:csb0="00000001" w:csb1="00000000"/>
  </w:font>
  <w:font w:name="ＭＳ ゴシック">
    <w:panose1 w:val="00000000000000000000"/>
    <w:charset w:val="80"/>
    <w:family w:val="modern"/>
    <w:notTrueType/>
    <w:pitch w:val="fixed"/>
    <w:sig w:usb0="00000001" w:usb1="08070000" w:usb2="00000010" w:usb3="00000000" w:csb0="00020000" w:csb1="00000000"/>
  </w:font>
  <w:font w:name="Lucida Grande">
    <w:panose1 w:val="020B0600040502020204"/>
    <w:charset w:val="00"/>
    <w:family w:val="auto"/>
    <w:pitch w:val="variable"/>
    <w:sig w:usb0="E1000AEF" w:usb1="5000A1FF" w:usb2="00000000" w:usb3="00000000" w:csb0="000001BF" w:csb1="00000000"/>
  </w:font>
  <w:font w:name="Times">
    <w:panose1 w:val="02000500000000000000"/>
    <w:charset w:val="4D"/>
    <w:family w:val="roman"/>
    <w:notTrueType/>
    <w:pitch w:val="variable"/>
    <w:sig w:usb0="00000003" w:usb1="00000000" w:usb2="00000000" w:usb3="00000000" w:csb0="00000001" w:csb1="00000000"/>
  </w:font>
  <w:font w:name="Calibri">
    <w:panose1 w:val="020F0502020204030204"/>
    <w:charset w:val="00"/>
    <w:family w:val="auto"/>
    <w:pitch w:val="variable"/>
    <w:sig w:usb0="00000003" w:usb1="00000000" w:usb2="00000000" w:usb3="00000000" w:csb0="00000001" w:csb1="00000000"/>
  </w:font>
  <w:font w:name="ＭＳ 明朝">
    <w:panose1 w:val="00000000000000000000"/>
    <w:charset w:val="80"/>
    <w:family w:val="roman"/>
    <w:notTrueType/>
    <w:pitch w:val="fixed"/>
    <w:sig w:usb0="00000001" w:usb1="08070000" w:usb2="00000010" w:usb3="00000000" w:csb0="00020000" w:csb1="00000000"/>
  </w:font>
  <w:font w:name="Cambria">
    <w:panose1 w:val="02040503050406030204"/>
    <w:charset w:val="00"/>
    <w:family w:val="auto"/>
    <w:pitch w:val="variable"/>
    <w:sig w:usb0="00000003" w:usb1="00000000" w:usb2="00000000" w:usb3="00000000" w:csb0="00000001"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72390F3" w14:textId="77777777" w:rsidR="00551138" w:rsidRDefault="00551138">
    <w:pPr>
      <w:pStyle w:val="Foo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257991D" w14:textId="77777777" w:rsidR="00551138" w:rsidRDefault="00551138">
    <w:pPr>
      <w:pStyle w:val="Footer"/>
    </w:pP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60406CF" w14:textId="175CD283" w:rsidR="00551138" w:rsidRPr="00283069" w:rsidRDefault="00551138" w:rsidP="00283069">
    <w:pPr>
      <w:pStyle w:val="Footer"/>
      <w:jc w:val="right"/>
    </w:pPr>
    <w:r>
      <w:rPr>
        <w:noProof/>
      </w:rPr>
      <w:drawing>
        <wp:inline distT="0" distB="0" distL="0" distR="0" wp14:anchorId="39636B9F" wp14:editId="7EF84176">
          <wp:extent cx="406400" cy="406400"/>
          <wp:effectExtent l="0" t="0" r="0" b="0"/>
          <wp:docPr id="1" name="Picture 1">
            <a:hlinkClick xmlns:a="http://schemas.openxmlformats.org/drawingml/2006/main" r:id="rId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rvlet.ImageServer.jpeg"/>
                  <pic:cNvPicPr/>
                </pic:nvPicPr>
                <pic:blipFill>
                  <a:blip r:embed="rId2">
                    <a:extLst>
                      <a:ext uri="{28A0092B-C50C-407E-A947-70E740481C1C}">
                        <a14:useLocalDpi xmlns:a14="http://schemas.microsoft.com/office/drawing/2010/main" val="0"/>
                      </a:ext>
                    </a:extLst>
                  </a:blip>
                  <a:stretch>
                    <a:fillRect/>
                  </a:stretch>
                </pic:blipFill>
                <pic:spPr>
                  <a:xfrm>
                    <a:off x="0" y="0"/>
                    <a:ext cx="406400" cy="406400"/>
                  </a:xfrm>
                  <a:prstGeom prst="rect">
                    <a:avLst/>
                  </a:prstGeom>
                </pic:spPr>
              </pic:pic>
            </a:graphicData>
          </a:graphic>
        </wp:inline>
      </w:drawing>
    </w:r>
    <w:r>
      <w:rPr>
        <w:noProof/>
      </w:rPr>
      <w:drawing>
        <wp:inline distT="0" distB="0" distL="0" distR="0" wp14:anchorId="34F60D50" wp14:editId="7CA99C90">
          <wp:extent cx="406400" cy="406400"/>
          <wp:effectExtent l="0" t="0" r="0" b="0"/>
          <wp:docPr id="6" name="Picture 6">
            <a:hlinkClick xmlns:a="http://schemas.openxmlformats.org/drawingml/2006/main" r:id="rId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rvlet-1.ImageServer.jpeg"/>
                  <pic:cNvPicPr/>
                </pic:nvPicPr>
                <pic:blipFill>
                  <a:blip r:embed="rId4">
                    <a:extLst>
                      <a:ext uri="{28A0092B-C50C-407E-A947-70E740481C1C}">
                        <a14:useLocalDpi xmlns:a14="http://schemas.microsoft.com/office/drawing/2010/main" val="0"/>
                      </a:ext>
                    </a:extLst>
                  </a:blip>
                  <a:stretch>
                    <a:fillRect/>
                  </a:stretch>
                </pic:blipFill>
                <pic:spPr>
                  <a:xfrm>
                    <a:off x="0" y="0"/>
                    <a:ext cx="406400" cy="406400"/>
                  </a:xfrm>
                  <a:prstGeom prst="rect">
                    <a:avLst/>
                  </a:prstGeom>
                </pic:spPr>
              </pic:pic>
            </a:graphicData>
          </a:graphic>
        </wp:inline>
      </w:drawing>
    </w:r>
    <w:r>
      <w:rPr>
        <w:noProof/>
      </w:rPr>
      <w:drawing>
        <wp:inline distT="0" distB="0" distL="0" distR="0" wp14:anchorId="13777A72" wp14:editId="16087964">
          <wp:extent cx="406400" cy="406400"/>
          <wp:effectExtent l="0" t="0" r="0" b="0"/>
          <wp:docPr id="5" name="Picture 5">
            <a:hlinkClick xmlns:a="http://schemas.openxmlformats.org/drawingml/2006/main" r:id="rId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rvlet-2.ImageServer.jpeg"/>
                  <pic:cNvPicPr/>
                </pic:nvPicPr>
                <pic:blipFill>
                  <a:blip r:embed="rId6">
                    <a:extLst>
                      <a:ext uri="{28A0092B-C50C-407E-A947-70E740481C1C}">
                        <a14:useLocalDpi xmlns:a14="http://schemas.microsoft.com/office/drawing/2010/main" val="0"/>
                      </a:ext>
                    </a:extLst>
                  </a:blip>
                  <a:stretch>
                    <a:fillRect/>
                  </a:stretch>
                </pic:blipFill>
                <pic:spPr>
                  <a:xfrm>
                    <a:off x="0" y="0"/>
                    <a:ext cx="406400" cy="406400"/>
                  </a:xfrm>
                  <a:prstGeom prst="rect">
                    <a:avLst/>
                  </a:prstGeom>
                </pic:spPr>
              </pic:pic>
            </a:graphicData>
          </a:graphic>
        </wp:inline>
      </w:drawing>
    </w:r>
    <w:r>
      <w:rPr>
        <w:noProof/>
      </w:rPr>
      <w:drawing>
        <wp:inline distT="0" distB="0" distL="0" distR="0" wp14:anchorId="65D63FE2" wp14:editId="655B6291">
          <wp:extent cx="406400" cy="406400"/>
          <wp:effectExtent l="0" t="0" r="0" b="0"/>
          <wp:docPr id="7" name="Picture 7">
            <a:hlinkClick xmlns:a="http://schemas.openxmlformats.org/drawingml/2006/main" r:id="rId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rvlet-3.ImageServer.jpeg"/>
                  <pic:cNvPicPr/>
                </pic:nvPicPr>
                <pic:blipFill>
                  <a:blip r:embed="rId8">
                    <a:extLst>
                      <a:ext uri="{28A0092B-C50C-407E-A947-70E740481C1C}">
                        <a14:useLocalDpi xmlns:a14="http://schemas.microsoft.com/office/drawing/2010/main" val="0"/>
                      </a:ext>
                    </a:extLst>
                  </a:blip>
                  <a:stretch>
                    <a:fillRect/>
                  </a:stretch>
                </pic:blipFill>
                <pic:spPr>
                  <a:xfrm>
                    <a:off x="0" y="0"/>
                    <a:ext cx="406400" cy="406400"/>
                  </a:xfrm>
                  <a:prstGeom prst="rect">
                    <a:avLst/>
                  </a:prstGeom>
                </pic:spPr>
              </pic:pic>
            </a:graphicData>
          </a:graphic>
        </wp:inline>
      </w:drawing>
    </w:r>
    <w:r>
      <w:rPr>
        <w:noProof/>
      </w:rPr>
      <w:drawing>
        <wp:inline distT="0" distB="0" distL="0" distR="0" wp14:anchorId="11F048F8" wp14:editId="44ED16AA">
          <wp:extent cx="406400" cy="406400"/>
          <wp:effectExtent l="0" t="0" r="0" b="0"/>
          <wp:docPr id="8" name="Picture 8">
            <a:hlinkClick xmlns:a="http://schemas.openxmlformats.org/drawingml/2006/main" r:id="rId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rvlet-4.ImageServer.jpeg"/>
                  <pic:cNvPicPr/>
                </pic:nvPicPr>
                <pic:blipFill>
                  <a:blip r:embed="rId10">
                    <a:extLst>
                      <a:ext uri="{28A0092B-C50C-407E-A947-70E740481C1C}">
                        <a14:useLocalDpi xmlns:a14="http://schemas.microsoft.com/office/drawing/2010/main" val="0"/>
                      </a:ext>
                    </a:extLst>
                  </a:blip>
                  <a:stretch>
                    <a:fillRect/>
                  </a:stretch>
                </pic:blipFill>
                <pic:spPr>
                  <a:xfrm>
                    <a:off x="0" y="0"/>
                    <a:ext cx="406400" cy="406400"/>
                  </a:xfrm>
                  <a:prstGeom prst="rect">
                    <a:avLst/>
                  </a:prstGeom>
                </pic:spPr>
              </pic:pic>
            </a:graphicData>
          </a:graphic>
        </wp:inline>
      </w:drawing>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721D889" w14:textId="77777777" w:rsidR="00551138" w:rsidRDefault="00551138">
      <w:r>
        <w:separator/>
      </w:r>
    </w:p>
  </w:footnote>
  <w:footnote w:type="continuationSeparator" w:id="0">
    <w:p w14:paraId="7ADA0EA4" w14:textId="77777777" w:rsidR="00551138" w:rsidRDefault="00551138">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F33320B" w14:textId="77777777" w:rsidR="00551138" w:rsidRDefault="00551138">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B3438C9" w14:textId="77777777" w:rsidR="00551138" w:rsidRDefault="00551138">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A94034B" w14:textId="77777777" w:rsidR="00551138" w:rsidRPr="00EB1000" w:rsidRDefault="00551138" w:rsidP="00846CEF">
    <w:pPr>
      <w:pStyle w:val="Header"/>
      <w:ind w:left="-720" w:right="-720"/>
      <w:jc w:val="center"/>
      <w:rPr>
        <w:rFonts w:ascii="Arial" w:hAnsi="Arial"/>
        <w:color w:val="FFFFFF" w:themeColor="background1"/>
      </w:rPr>
    </w:pPr>
    <w:r>
      <w:rPr>
        <w:rFonts w:ascii="Arial" w:hAnsi="Arial"/>
        <w:noProof/>
        <w:color w:val="FFFFFF" w:themeColor="background1"/>
      </w:rPr>
      <w:drawing>
        <wp:anchor distT="0" distB="0" distL="114300" distR="114300" simplePos="0" relativeHeight="251658240" behindDoc="1" locked="0" layoutInCell="1" allowOverlap="1" wp14:anchorId="18B77529" wp14:editId="03BCF104">
          <wp:simplePos x="0" y="0"/>
          <wp:positionH relativeFrom="column">
            <wp:posOffset>-634365</wp:posOffset>
          </wp:positionH>
          <wp:positionV relativeFrom="paragraph">
            <wp:posOffset>2540</wp:posOffset>
          </wp:positionV>
          <wp:extent cx="7252335" cy="1093497"/>
          <wp:effectExtent l="0" t="0" r="12065"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pconPR_header-A4.png"/>
                  <pic:cNvPicPr/>
                </pic:nvPicPr>
                <pic:blipFill rotWithShape="1">
                  <a:blip r:embed="rId1">
                    <a:extLst>
                      <a:ext uri="{28A0092B-C50C-407E-A947-70E740481C1C}">
                        <a14:useLocalDpi xmlns:a14="http://schemas.microsoft.com/office/drawing/2010/main" val="0"/>
                      </a:ext>
                    </a:extLst>
                  </a:blip>
                  <a:srcRect l="-86" t="-235" r="-86" b="-235"/>
                  <a:stretch/>
                </pic:blipFill>
                <pic:spPr bwMode="auto">
                  <a:xfrm>
                    <a:off x="0" y="0"/>
                    <a:ext cx="7252335" cy="1093497"/>
                  </a:xfrm>
                  <a:prstGeom prst="rect">
                    <a:avLst/>
                  </a:prstGeom>
                  <a:ln>
                    <a:noFill/>
                  </a:ln>
                  <a:extLst>
                    <a:ext uri="{53640926-AAD7-44d8-BBD7-CCE9431645EC}">
                      <a14:shadowObscured xmlns:a14="http://schemas.microsoft.com/office/drawing/2010/main"/>
                    </a:ex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p>
  <w:p w14:paraId="1B4F5354" w14:textId="77777777" w:rsidR="00551138" w:rsidRPr="00EB1000" w:rsidRDefault="00551138" w:rsidP="00220127">
    <w:pPr>
      <w:pStyle w:val="Header"/>
      <w:ind w:right="-720"/>
      <w:jc w:val="right"/>
      <w:rPr>
        <w:rFonts w:ascii="Arial" w:hAnsi="Arial"/>
        <w:color w:val="FFFFFF" w:themeColor="background1"/>
        <w:sz w:val="32"/>
        <w:szCs w:val="32"/>
      </w:rPr>
    </w:pPr>
  </w:p>
  <w:p w14:paraId="4D3C7363" w14:textId="77777777" w:rsidR="00551138" w:rsidRPr="001A276A" w:rsidRDefault="00551138" w:rsidP="00220127">
    <w:pPr>
      <w:pStyle w:val="Header"/>
      <w:ind w:right="-720"/>
      <w:jc w:val="right"/>
      <w:rPr>
        <w:rFonts w:ascii="Arial" w:hAnsi="Arial"/>
        <w:color w:val="EEB111"/>
        <w:sz w:val="32"/>
        <w:szCs w:val="32"/>
      </w:rPr>
    </w:pPr>
    <w:r w:rsidRPr="001A276A">
      <w:rPr>
        <w:rFonts w:ascii="Arial" w:hAnsi="Arial"/>
        <w:color w:val="EEB111"/>
        <w:sz w:val="32"/>
        <w:szCs w:val="32"/>
      </w:rPr>
      <w:t>PRESS RELEASE</w: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03A0B04"/>
    <w:multiLevelType w:val="hybridMultilevel"/>
    <w:tmpl w:val="8898A116"/>
    <w:lvl w:ilvl="0" w:tplc="1EE451B8">
      <w:numFmt w:val="bullet"/>
      <w:lvlText w:val="-"/>
      <w:lvlJc w:val="left"/>
      <w:pPr>
        <w:tabs>
          <w:tab w:val="num" w:pos="360"/>
        </w:tabs>
        <w:ind w:left="360" w:hanging="360"/>
      </w:pPr>
      <w:rPr>
        <w:rFonts w:ascii="Times New Roman" w:eastAsia="MS Mincho" w:hAnsi="Times New Roman" w:cs="Times New Roman" w:hint="default"/>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2"/>
  <w:embedSystemFonts/>
  <w:proofState w:spelling="clean" w:grammar="clean"/>
  <w:defaultTabStop w:val="720"/>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13E5B"/>
    <w:rsid w:val="00006C61"/>
    <w:rsid w:val="000418C2"/>
    <w:rsid w:val="00073328"/>
    <w:rsid w:val="000872FF"/>
    <w:rsid w:val="0009234C"/>
    <w:rsid w:val="000B5413"/>
    <w:rsid w:val="000C3C4C"/>
    <w:rsid w:val="000C6429"/>
    <w:rsid w:val="000D117E"/>
    <w:rsid w:val="00105D3C"/>
    <w:rsid w:val="00163F32"/>
    <w:rsid w:val="00177523"/>
    <w:rsid w:val="001855FB"/>
    <w:rsid w:val="001A276A"/>
    <w:rsid w:val="001A5950"/>
    <w:rsid w:val="001B6BA0"/>
    <w:rsid w:val="001D47AE"/>
    <w:rsid w:val="001E495F"/>
    <w:rsid w:val="001F02F7"/>
    <w:rsid w:val="00211CAC"/>
    <w:rsid w:val="0021353A"/>
    <w:rsid w:val="00220127"/>
    <w:rsid w:val="00234742"/>
    <w:rsid w:val="002377E8"/>
    <w:rsid w:val="00265C21"/>
    <w:rsid w:val="00267859"/>
    <w:rsid w:val="002751AA"/>
    <w:rsid w:val="00283069"/>
    <w:rsid w:val="00283421"/>
    <w:rsid w:val="002B2158"/>
    <w:rsid w:val="002B65A9"/>
    <w:rsid w:val="002C1A8C"/>
    <w:rsid w:val="002E2BC8"/>
    <w:rsid w:val="002E5E21"/>
    <w:rsid w:val="00313F6E"/>
    <w:rsid w:val="0032173B"/>
    <w:rsid w:val="003217F4"/>
    <w:rsid w:val="00340920"/>
    <w:rsid w:val="00353911"/>
    <w:rsid w:val="00355294"/>
    <w:rsid w:val="00360DFE"/>
    <w:rsid w:val="003801D4"/>
    <w:rsid w:val="0039761D"/>
    <w:rsid w:val="003A6C06"/>
    <w:rsid w:val="003A7243"/>
    <w:rsid w:val="003B1941"/>
    <w:rsid w:val="003B49D6"/>
    <w:rsid w:val="003C6648"/>
    <w:rsid w:val="003F134C"/>
    <w:rsid w:val="003F5E34"/>
    <w:rsid w:val="00413E95"/>
    <w:rsid w:val="00416269"/>
    <w:rsid w:val="0043387D"/>
    <w:rsid w:val="00433A38"/>
    <w:rsid w:val="00471166"/>
    <w:rsid w:val="004B1F87"/>
    <w:rsid w:val="004C2A52"/>
    <w:rsid w:val="00513E5B"/>
    <w:rsid w:val="005378E1"/>
    <w:rsid w:val="005502C7"/>
    <w:rsid w:val="00551138"/>
    <w:rsid w:val="0058710D"/>
    <w:rsid w:val="00587A94"/>
    <w:rsid w:val="005A23A0"/>
    <w:rsid w:val="005A4B01"/>
    <w:rsid w:val="005C44F8"/>
    <w:rsid w:val="005C48E8"/>
    <w:rsid w:val="005E26B0"/>
    <w:rsid w:val="005F0C86"/>
    <w:rsid w:val="005F3D0B"/>
    <w:rsid w:val="006103A4"/>
    <w:rsid w:val="0061068D"/>
    <w:rsid w:val="006112E8"/>
    <w:rsid w:val="0061580F"/>
    <w:rsid w:val="00617F10"/>
    <w:rsid w:val="00622524"/>
    <w:rsid w:val="006274D0"/>
    <w:rsid w:val="00637E81"/>
    <w:rsid w:val="0064309C"/>
    <w:rsid w:val="006456AE"/>
    <w:rsid w:val="00653C74"/>
    <w:rsid w:val="0069002A"/>
    <w:rsid w:val="006926B3"/>
    <w:rsid w:val="006B2A9A"/>
    <w:rsid w:val="006E05C2"/>
    <w:rsid w:val="007530F6"/>
    <w:rsid w:val="00756005"/>
    <w:rsid w:val="007605FA"/>
    <w:rsid w:val="00765F8C"/>
    <w:rsid w:val="00773A4C"/>
    <w:rsid w:val="0078639E"/>
    <w:rsid w:val="00792A4E"/>
    <w:rsid w:val="007B3233"/>
    <w:rsid w:val="007C481B"/>
    <w:rsid w:val="007D26FD"/>
    <w:rsid w:val="00810DE0"/>
    <w:rsid w:val="008141F4"/>
    <w:rsid w:val="008205DE"/>
    <w:rsid w:val="00832E9A"/>
    <w:rsid w:val="00846CEF"/>
    <w:rsid w:val="00853C9A"/>
    <w:rsid w:val="00870D37"/>
    <w:rsid w:val="008802C4"/>
    <w:rsid w:val="00891FF7"/>
    <w:rsid w:val="008962D4"/>
    <w:rsid w:val="008D0202"/>
    <w:rsid w:val="008E6FD9"/>
    <w:rsid w:val="008F54A3"/>
    <w:rsid w:val="009434F4"/>
    <w:rsid w:val="00956EF7"/>
    <w:rsid w:val="009605F6"/>
    <w:rsid w:val="009666D5"/>
    <w:rsid w:val="00975493"/>
    <w:rsid w:val="009964DE"/>
    <w:rsid w:val="00A06D66"/>
    <w:rsid w:val="00A2628F"/>
    <w:rsid w:val="00A47E24"/>
    <w:rsid w:val="00A57BD4"/>
    <w:rsid w:val="00A60195"/>
    <w:rsid w:val="00A9365C"/>
    <w:rsid w:val="00A976A5"/>
    <w:rsid w:val="00AA2A43"/>
    <w:rsid w:val="00AC09BA"/>
    <w:rsid w:val="00AE6481"/>
    <w:rsid w:val="00B35AF9"/>
    <w:rsid w:val="00B402B7"/>
    <w:rsid w:val="00B4058E"/>
    <w:rsid w:val="00B92736"/>
    <w:rsid w:val="00B92C56"/>
    <w:rsid w:val="00B92CFE"/>
    <w:rsid w:val="00BB19B5"/>
    <w:rsid w:val="00BB25D3"/>
    <w:rsid w:val="00BB4455"/>
    <w:rsid w:val="00BC6358"/>
    <w:rsid w:val="00BD71D0"/>
    <w:rsid w:val="00BE12FA"/>
    <w:rsid w:val="00BE5DE2"/>
    <w:rsid w:val="00BF37F1"/>
    <w:rsid w:val="00C01690"/>
    <w:rsid w:val="00C03ADA"/>
    <w:rsid w:val="00C31391"/>
    <w:rsid w:val="00C638D1"/>
    <w:rsid w:val="00C725ED"/>
    <w:rsid w:val="00C7597C"/>
    <w:rsid w:val="00C81D46"/>
    <w:rsid w:val="00C92C21"/>
    <w:rsid w:val="00CD3455"/>
    <w:rsid w:val="00CE188F"/>
    <w:rsid w:val="00CE7843"/>
    <w:rsid w:val="00CF403B"/>
    <w:rsid w:val="00CF7FC5"/>
    <w:rsid w:val="00D47414"/>
    <w:rsid w:val="00D55832"/>
    <w:rsid w:val="00D6369D"/>
    <w:rsid w:val="00D647FC"/>
    <w:rsid w:val="00D672DA"/>
    <w:rsid w:val="00D6784A"/>
    <w:rsid w:val="00D70AF0"/>
    <w:rsid w:val="00D70EE2"/>
    <w:rsid w:val="00D91CF0"/>
    <w:rsid w:val="00D979CB"/>
    <w:rsid w:val="00DC60A0"/>
    <w:rsid w:val="00E07F73"/>
    <w:rsid w:val="00E16158"/>
    <w:rsid w:val="00E32B47"/>
    <w:rsid w:val="00EB1000"/>
    <w:rsid w:val="00ED70D3"/>
    <w:rsid w:val="00EE33D2"/>
    <w:rsid w:val="00F0754B"/>
    <w:rsid w:val="00F463E2"/>
    <w:rsid w:val="00F55F20"/>
    <w:rsid w:val="00F757D3"/>
    <w:rsid w:val="00F81B4F"/>
    <w:rsid w:val="00F86AB9"/>
    <w:rsid w:val="00F86B3B"/>
    <w:rsid w:val="00F94B69"/>
    <w:rsid w:val="00F94E58"/>
    <w:rsid w:val="00FA3772"/>
    <w:rsid w:val="00FA5D11"/>
    <w:rsid w:val="00FB0DA8"/>
    <w:rsid w:val="00FB146B"/>
    <w:rsid w:val="00FB4CB7"/>
    <w:rsid w:val="00FB613D"/>
    <w:rsid w:val="00FD032D"/>
    <w:rsid w:val="00FD070E"/>
    <w:rsid w:val="00FD610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oNotEmbedSmartTags/>
  <w:decimalSymbol w:val="."/>
  <w:listSeparator w:val=","/>
  <w14:docId w14:val="164EDDB3"/>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02764"/>
    <w:rPr>
      <w:sz w:val="24"/>
      <w:szCs w:val="24"/>
    </w:rPr>
  </w:style>
  <w:style w:type="paragraph" w:styleId="Heading1">
    <w:name w:val="heading 1"/>
    <w:basedOn w:val="Normal"/>
    <w:next w:val="Normal"/>
    <w:link w:val="Heading1Char"/>
    <w:uiPriority w:val="9"/>
    <w:qFormat/>
    <w:rsid w:val="00413E95"/>
    <w:pPr>
      <w:keepNext/>
      <w:keepLines/>
      <w:spacing w:before="480" w:after="240"/>
      <w:outlineLvl w:val="0"/>
    </w:pPr>
    <w:rPr>
      <w:rFonts w:ascii="Arial" w:eastAsiaTheme="majorEastAsia" w:hAnsi="Arial" w:cstheme="majorBidi"/>
      <w:b/>
      <w:bCs/>
      <w:color w:val="000000" w:themeColor="text1"/>
      <w:sz w:val="44"/>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semiHidden/>
    <w:rsid w:val="00340904"/>
    <w:rPr>
      <w:rFonts w:ascii="Lucida Grande" w:hAnsi="Lucida Grande"/>
      <w:sz w:val="18"/>
      <w:szCs w:val="18"/>
    </w:rPr>
  </w:style>
  <w:style w:type="paragraph" w:styleId="Header">
    <w:name w:val="header"/>
    <w:basedOn w:val="Normal"/>
    <w:rsid w:val="00B02764"/>
    <w:pPr>
      <w:tabs>
        <w:tab w:val="center" w:pos="4320"/>
        <w:tab w:val="right" w:pos="8640"/>
      </w:tabs>
    </w:pPr>
  </w:style>
  <w:style w:type="paragraph" w:styleId="Footer">
    <w:name w:val="footer"/>
    <w:basedOn w:val="Normal"/>
    <w:semiHidden/>
    <w:rsid w:val="00B02764"/>
    <w:pPr>
      <w:tabs>
        <w:tab w:val="center" w:pos="4320"/>
        <w:tab w:val="right" w:pos="8640"/>
      </w:tabs>
    </w:pPr>
  </w:style>
  <w:style w:type="character" w:styleId="PageNumber">
    <w:name w:val="page number"/>
    <w:basedOn w:val="DefaultParagraphFont"/>
    <w:rsid w:val="00B02764"/>
  </w:style>
  <w:style w:type="paragraph" w:styleId="NormalWeb">
    <w:name w:val="Normal (Web)"/>
    <w:basedOn w:val="Normal"/>
    <w:uiPriority w:val="99"/>
    <w:unhideWhenUsed/>
    <w:rsid w:val="000F15F5"/>
    <w:pPr>
      <w:spacing w:before="100" w:beforeAutospacing="1" w:after="100" w:afterAutospacing="1"/>
    </w:pPr>
    <w:rPr>
      <w:rFonts w:ascii="Times" w:eastAsia="MS Mincho" w:hAnsi="Times"/>
      <w:sz w:val="20"/>
      <w:szCs w:val="20"/>
    </w:rPr>
  </w:style>
  <w:style w:type="character" w:styleId="Hyperlink">
    <w:name w:val="Hyperlink"/>
    <w:uiPriority w:val="99"/>
    <w:unhideWhenUsed/>
    <w:rsid w:val="000F15F5"/>
    <w:rPr>
      <w:color w:val="0000FF"/>
      <w:u w:val="single"/>
    </w:rPr>
  </w:style>
  <w:style w:type="character" w:styleId="FollowedHyperlink">
    <w:name w:val="FollowedHyperlink"/>
    <w:uiPriority w:val="99"/>
    <w:semiHidden/>
    <w:unhideWhenUsed/>
    <w:rsid w:val="0061580F"/>
    <w:rPr>
      <w:color w:val="800080"/>
      <w:u w:val="single"/>
    </w:rPr>
  </w:style>
  <w:style w:type="character" w:customStyle="1" w:styleId="Heading1Char">
    <w:name w:val="Heading 1 Char"/>
    <w:basedOn w:val="DefaultParagraphFont"/>
    <w:link w:val="Heading1"/>
    <w:uiPriority w:val="9"/>
    <w:rsid w:val="00413E95"/>
    <w:rPr>
      <w:rFonts w:ascii="Arial" w:eastAsiaTheme="majorEastAsia" w:hAnsi="Arial" w:cstheme="majorBidi"/>
      <w:b/>
      <w:bCs/>
      <w:color w:val="000000" w:themeColor="text1"/>
      <w:sz w:val="44"/>
      <w:szCs w:val="32"/>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02764"/>
    <w:rPr>
      <w:sz w:val="24"/>
      <w:szCs w:val="24"/>
    </w:rPr>
  </w:style>
  <w:style w:type="paragraph" w:styleId="Heading1">
    <w:name w:val="heading 1"/>
    <w:basedOn w:val="Normal"/>
    <w:next w:val="Normal"/>
    <w:link w:val="Heading1Char"/>
    <w:uiPriority w:val="9"/>
    <w:qFormat/>
    <w:rsid w:val="00413E95"/>
    <w:pPr>
      <w:keepNext/>
      <w:keepLines/>
      <w:spacing w:before="480" w:after="240"/>
      <w:outlineLvl w:val="0"/>
    </w:pPr>
    <w:rPr>
      <w:rFonts w:ascii="Arial" w:eastAsiaTheme="majorEastAsia" w:hAnsi="Arial" w:cstheme="majorBidi"/>
      <w:b/>
      <w:bCs/>
      <w:color w:val="000000" w:themeColor="text1"/>
      <w:sz w:val="44"/>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semiHidden/>
    <w:rsid w:val="00340904"/>
    <w:rPr>
      <w:rFonts w:ascii="Lucida Grande" w:hAnsi="Lucida Grande"/>
      <w:sz w:val="18"/>
      <w:szCs w:val="18"/>
    </w:rPr>
  </w:style>
  <w:style w:type="paragraph" w:styleId="Header">
    <w:name w:val="header"/>
    <w:basedOn w:val="Normal"/>
    <w:rsid w:val="00B02764"/>
    <w:pPr>
      <w:tabs>
        <w:tab w:val="center" w:pos="4320"/>
        <w:tab w:val="right" w:pos="8640"/>
      </w:tabs>
    </w:pPr>
  </w:style>
  <w:style w:type="paragraph" w:styleId="Footer">
    <w:name w:val="footer"/>
    <w:basedOn w:val="Normal"/>
    <w:semiHidden/>
    <w:rsid w:val="00B02764"/>
    <w:pPr>
      <w:tabs>
        <w:tab w:val="center" w:pos="4320"/>
        <w:tab w:val="right" w:pos="8640"/>
      </w:tabs>
    </w:pPr>
  </w:style>
  <w:style w:type="character" w:styleId="PageNumber">
    <w:name w:val="page number"/>
    <w:basedOn w:val="DefaultParagraphFont"/>
    <w:rsid w:val="00B02764"/>
  </w:style>
  <w:style w:type="paragraph" w:styleId="NormalWeb">
    <w:name w:val="Normal (Web)"/>
    <w:basedOn w:val="Normal"/>
    <w:uiPriority w:val="99"/>
    <w:unhideWhenUsed/>
    <w:rsid w:val="000F15F5"/>
    <w:pPr>
      <w:spacing w:before="100" w:beforeAutospacing="1" w:after="100" w:afterAutospacing="1"/>
    </w:pPr>
    <w:rPr>
      <w:rFonts w:ascii="Times" w:eastAsia="MS Mincho" w:hAnsi="Times"/>
      <w:sz w:val="20"/>
      <w:szCs w:val="20"/>
    </w:rPr>
  </w:style>
  <w:style w:type="character" w:styleId="Hyperlink">
    <w:name w:val="Hyperlink"/>
    <w:uiPriority w:val="99"/>
    <w:unhideWhenUsed/>
    <w:rsid w:val="000F15F5"/>
    <w:rPr>
      <w:color w:val="0000FF"/>
      <w:u w:val="single"/>
    </w:rPr>
  </w:style>
  <w:style w:type="character" w:styleId="FollowedHyperlink">
    <w:name w:val="FollowedHyperlink"/>
    <w:uiPriority w:val="99"/>
    <w:semiHidden/>
    <w:unhideWhenUsed/>
    <w:rsid w:val="0061580F"/>
    <w:rPr>
      <w:color w:val="800080"/>
      <w:u w:val="single"/>
    </w:rPr>
  </w:style>
  <w:style w:type="character" w:customStyle="1" w:styleId="Heading1Char">
    <w:name w:val="Heading 1 Char"/>
    <w:basedOn w:val="DefaultParagraphFont"/>
    <w:link w:val="Heading1"/>
    <w:uiPriority w:val="9"/>
    <w:rsid w:val="00413E95"/>
    <w:rPr>
      <w:rFonts w:ascii="Arial" w:eastAsiaTheme="majorEastAsia" w:hAnsi="Arial" w:cstheme="majorBidi"/>
      <w:b/>
      <w:bCs/>
      <w:color w:val="000000" w:themeColor="text1"/>
      <w:sz w:val="44"/>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1.jpeg"/><Relationship Id="rId20" Type="http://schemas.openxmlformats.org/officeDocument/2006/relationships/header" Target="header2.xml"/><Relationship Id="rId21" Type="http://schemas.openxmlformats.org/officeDocument/2006/relationships/footer" Target="footer1.xml"/><Relationship Id="rId22" Type="http://schemas.openxmlformats.org/officeDocument/2006/relationships/footer" Target="footer2.xml"/><Relationship Id="rId23" Type="http://schemas.openxmlformats.org/officeDocument/2006/relationships/header" Target="header3.xml"/><Relationship Id="rId24" Type="http://schemas.openxmlformats.org/officeDocument/2006/relationships/footer" Target="footer3.xml"/><Relationship Id="rId25" Type="http://schemas.openxmlformats.org/officeDocument/2006/relationships/fontTable" Target="fontTable.xml"/><Relationship Id="rId26" Type="http://schemas.openxmlformats.org/officeDocument/2006/relationships/theme" Target="theme/theme1.xml"/><Relationship Id="rId10" Type="http://schemas.openxmlformats.org/officeDocument/2006/relationships/hyperlink" Target="http://www.tierratelematics.com/" TargetMode="External"/><Relationship Id="rId11" Type="http://schemas.openxmlformats.org/officeDocument/2006/relationships/hyperlink" Target="http://www.wachendorff-elektronik.de/en/home.html" TargetMode="External"/><Relationship Id="rId12" Type="http://schemas.openxmlformats.org/officeDocument/2006/relationships/hyperlink" Target="http://digi-star.com/" TargetMode="External"/><Relationship Id="rId13" Type="http://schemas.openxmlformats.org/officeDocument/2006/relationships/hyperlink" Target="http://www.norac.ca/index" TargetMode="External"/><Relationship Id="rId14" Type="http://schemas.openxmlformats.org/officeDocument/2006/relationships/hyperlink" Target="http://www.rdstec.com" TargetMode="External"/><Relationship Id="rId15" Type="http://schemas.openxmlformats.org/officeDocument/2006/relationships/hyperlink" Target="http://www.topconpositioning.com/" TargetMode="External"/><Relationship Id="rId16" Type="http://schemas.openxmlformats.org/officeDocument/2006/relationships/hyperlink" Target="http://www.topconpositioning.eu" TargetMode="External"/><Relationship Id="rId17" Type="http://schemas.openxmlformats.org/officeDocument/2006/relationships/hyperlink" Target="http://global.topcon.com/" TargetMode="External"/><Relationship Id="rId18" Type="http://schemas.openxmlformats.org/officeDocument/2006/relationships/hyperlink" Target="mailto:CorpComm@topcon.com" TargetMode="External"/><Relationship Id="rId19" Type="http://schemas.openxmlformats.org/officeDocument/2006/relationships/header" Target="header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s>
</file>

<file path=word/_rels/footer3.xml.rels><?xml version="1.0" encoding="UTF-8" standalone="yes"?>
<Relationships xmlns="http://schemas.openxmlformats.org/package/2006/relationships"><Relationship Id="rId3" Type="http://schemas.openxmlformats.org/officeDocument/2006/relationships/hyperlink" Target="https://www.linkedin.com/company/topcon-positioning-systems" TargetMode="External"/><Relationship Id="rId4" Type="http://schemas.openxmlformats.org/officeDocument/2006/relationships/image" Target="media/image4.jpeg"/><Relationship Id="rId5" Type="http://schemas.openxmlformats.org/officeDocument/2006/relationships/hyperlink" Target="https://twitter.com/topcon_today" TargetMode="External"/><Relationship Id="rId6" Type="http://schemas.openxmlformats.org/officeDocument/2006/relationships/image" Target="media/image5.jpeg"/><Relationship Id="rId7" Type="http://schemas.openxmlformats.org/officeDocument/2006/relationships/hyperlink" Target="https://www.youtube.com/user/TopconToday" TargetMode="External"/><Relationship Id="rId8" Type="http://schemas.openxmlformats.org/officeDocument/2006/relationships/image" Target="media/image6.jpeg"/><Relationship Id="rId9" Type="http://schemas.openxmlformats.org/officeDocument/2006/relationships/hyperlink" Target="https://www.instagram.com/topcontoday/" TargetMode="External"/><Relationship Id="rId10" Type="http://schemas.openxmlformats.org/officeDocument/2006/relationships/image" Target="media/image7.jpeg"/><Relationship Id="rId1" Type="http://schemas.openxmlformats.org/officeDocument/2006/relationships/hyperlink" Target="https://www.facebook.com/TopconToday" TargetMode="External"/><Relationship Id="rId2" Type="http://schemas.openxmlformats.org/officeDocument/2006/relationships/image" Target="media/image3.jpe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2E2573C-11F2-C949-9D76-264134D3690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823</Words>
  <Characters>4693</Characters>
  <Application>Microsoft Macintosh Word</Application>
  <DocSecurity>0</DocSecurity>
  <Lines>39</Lines>
  <Paragraphs>11</Paragraphs>
  <ScaleCrop>false</ScaleCrop>
  <HeadingPairs>
    <vt:vector size="2" baseType="variant">
      <vt:variant>
        <vt:lpstr>Title</vt:lpstr>
      </vt:variant>
      <vt:variant>
        <vt:i4>1</vt:i4>
      </vt:variant>
    </vt:vector>
  </HeadingPairs>
  <TitlesOfParts>
    <vt:vector size="1" baseType="lpstr">
      <vt:lpstr>This is the press release title</vt:lpstr>
    </vt:vector>
  </TitlesOfParts>
  <Manager>Achiel Sturm</Manager>
  <Company>Topcon Positioning Group</Company>
  <LinksUpToDate>false</LinksUpToDate>
  <CharactersWithSpaces>5505</CharactersWithSpaces>
  <SharedDoc>false</SharedDoc>
  <HyperlinkBase/>
  <HLinks>
    <vt:vector size="24" baseType="variant">
      <vt:variant>
        <vt:i4>5701750</vt:i4>
      </vt:variant>
      <vt:variant>
        <vt:i4>9</vt:i4>
      </vt:variant>
      <vt:variant>
        <vt:i4>0</vt:i4>
      </vt:variant>
      <vt:variant>
        <vt:i4>5</vt:i4>
      </vt:variant>
      <vt:variant>
        <vt:lpwstr>mailto:news@topcon.com</vt:lpwstr>
      </vt:variant>
      <vt:variant>
        <vt:lpwstr/>
      </vt:variant>
      <vt:variant>
        <vt:i4>110</vt:i4>
      </vt:variant>
      <vt:variant>
        <vt:i4>6</vt:i4>
      </vt:variant>
      <vt:variant>
        <vt:i4>0</vt:i4>
      </vt:variant>
      <vt:variant>
        <vt:i4>5</vt:i4>
      </vt:variant>
      <vt:variant>
        <vt:lpwstr>http://global.topcon.com/</vt:lpwstr>
      </vt:variant>
      <vt:variant>
        <vt:lpwstr/>
      </vt:variant>
      <vt:variant>
        <vt:i4>3342342</vt:i4>
      </vt:variant>
      <vt:variant>
        <vt:i4>3</vt:i4>
      </vt:variant>
      <vt:variant>
        <vt:i4>0</vt:i4>
      </vt:variant>
      <vt:variant>
        <vt:i4>5</vt:i4>
      </vt:variant>
      <vt:variant>
        <vt:lpwstr>http://www.topconpositioning.eu</vt:lpwstr>
      </vt:variant>
      <vt:variant>
        <vt:lpwstr/>
      </vt:variant>
      <vt:variant>
        <vt:i4>5767219</vt:i4>
      </vt:variant>
      <vt:variant>
        <vt:i4>0</vt:i4>
      </vt:variant>
      <vt:variant>
        <vt:i4>0</vt:i4>
      </vt:variant>
      <vt:variant>
        <vt:i4>5</vt:i4>
      </vt:variant>
      <vt:variant>
        <vt:lpwstr>http://www.topconpositioning.com/</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TPG Press Release Template</dc:title>
  <dc:subject>This is the press release title</dc:subject>
  <dc:creator>Microsoft account</dc:creator>
  <cp:keywords/>
  <dc:description/>
  <cp:lastModifiedBy>Lauren Boyett</cp:lastModifiedBy>
  <cp:revision>3</cp:revision>
  <cp:lastPrinted>2016-06-06T15:00:00Z</cp:lastPrinted>
  <dcterms:created xsi:type="dcterms:W3CDTF">2016-06-06T15:53:00Z</dcterms:created>
  <dcterms:modified xsi:type="dcterms:W3CDTF">2016-06-06T16:42:00Z</dcterms:modified>
  <cp:category/>
</cp:coreProperties>
</file>