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bookmarkStart w:id="0" w:name="_GoBack"/>
      <w:bookmarkEnd w:id="0"/>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77097AC5" w14:textId="77777777" w:rsidR="00210E5A" w:rsidRDefault="00210E5A" w:rsidP="00632A63">
      <w:pPr>
        <w:jc w:val="center"/>
        <w:rPr>
          <w:rFonts w:ascii="Arial" w:hAnsi="Arial" w:cs="Arial"/>
          <w:b/>
          <w:color w:val="007AC2"/>
          <w:sz w:val="16"/>
        </w:rPr>
      </w:pPr>
    </w:p>
    <w:p w14:paraId="29EA580D" w14:textId="08F25561" w:rsidR="00632A63" w:rsidRPr="00210E5A" w:rsidRDefault="00632A63" w:rsidP="00632A63">
      <w:pPr>
        <w:jc w:val="center"/>
        <w:rPr>
          <w:rFonts w:ascii="Arial" w:hAnsi="Arial" w:cs="Arial"/>
          <w:b/>
          <w:color w:val="007AC2"/>
          <w:sz w:val="16"/>
        </w:rPr>
      </w:pPr>
    </w:p>
    <w:p w14:paraId="32AA292A" w14:textId="77777777" w:rsidR="00632A63" w:rsidRPr="00210E5A" w:rsidRDefault="00632A63" w:rsidP="00F96246">
      <w:pPr>
        <w:jc w:val="center"/>
        <w:rPr>
          <w:rFonts w:ascii="Arial" w:hAnsi="Arial" w:cs="Arial"/>
          <w:b/>
          <w:color w:val="007AC2"/>
          <w:sz w:val="13"/>
        </w:rPr>
      </w:pPr>
    </w:p>
    <w:p w14:paraId="4536D837" w14:textId="4B154E65" w:rsidR="00CF3909" w:rsidRDefault="00CF3909" w:rsidP="00CF3909">
      <w:pPr>
        <w:jc w:val="center"/>
        <w:rPr>
          <w:rFonts w:ascii="Arial" w:hAnsi="Arial" w:cs="Arial"/>
          <w:b/>
          <w:color w:val="007AC2"/>
          <w:sz w:val="32"/>
        </w:rPr>
      </w:pPr>
      <w:r>
        <w:rPr>
          <w:rFonts w:ascii="Arial" w:hAnsi="Arial" w:cs="Arial"/>
          <w:b/>
          <w:noProof/>
          <w:color w:val="007AC2"/>
          <w:sz w:val="32"/>
        </w:rPr>
        <w:drawing>
          <wp:inline distT="0" distB="0" distL="0" distR="0" wp14:anchorId="73C021A1" wp14:editId="3B74A4BD">
            <wp:extent cx="2693035" cy="1224957"/>
            <wp:effectExtent l="0" t="0" r="0" b="0"/>
            <wp:docPr id="1" name="Picture 1" descr="/Volumes/Docs/Publicity/Active/Press Kits for Web Upload/2018/WOC/Topcon_Press-kit_Roadshow/Topcon_Roadshow Truck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WOC/Topcon_Press-kit_Roadshow/Topcon_Roadshow Truck copy.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17830" cy="1236235"/>
                    </a:xfrm>
                    <a:prstGeom prst="rect">
                      <a:avLst/>
                    </a:prstGeom>
                    <a:noFill/>
                    <a:ln>
                      <a:noFill/>
                    </a:ln>
                  </pic:spPr>
                </pic:pic>
              </a:graphicData>
            </a:graphic>
          </wp:inline>
        </w:drawing>
      </w:r>
    </w:p>
    <w:p w14:paraId="64118002" w14:textId="77777777" w:rsidR="00CF3909" w:rsidRPr="00CF3909" w:rsidRDefault="00CF3909" w:rsidP="00CF3909">
      <w:pPr>
        <w:jc w:val="center"/>
        <w:rPr>
          <w:rFonts w:ascii="Arial" w:hAnsi="Arial" w:cs="Arial"/>
          <w:b/>
          <w:color w:val="007AC2"/>
          <w:sz w:val="11"/>
        </w:rPr>
      </w:pPr>
    </w:p>
    <w:p w14:paraId="523026A7" w14:textId="77777777" w:rsidR="00CF3909" w:rsidRPr="00CF3909" w:rsidRDefault="00CF3909" w:rsidP="00CF3909">
      <w:pPr>
        <w:jc w:val="center"/>
        <w:rPr>
          <w:rFonts w:ascii="Arial" w:hAnsi="Arial" w:cs="Arial"/>
          <w:b/>
          <w:color w:val="007AC2"/>
          <w:sz w:val="32"/>
        </w:rPr>
      </w:pPr>
      <w:r w:rsidRPr="00CF3909">
        <w:rPr>
          <w:rFonts w:ascii="Arial" w:hAnsi="Arial" w:cs="Arial"/>
          <w:b/>
          <w:color w:val="007AC2"/>
          <w:sz w:val="32"/>
        </w:rPr>
        <w:t xml:space="preserve">Topcon 2018 Technology Roadshow kicks off end-user training tour in multi-day stops across North America </w:t>
      </w:r>
    </w:p>
    <w:p w14:paraId="00578FB7" w14:textId="77777777" w:rsidR="00632A63" w:rsidRPr="00210E5A" w:rsidRDefault="00632A63" w:rsidP="00F96246">
      <w:pPr>
        <w:jc w:val="center"/>
        <w:rPr>
          <w:rFonts w:ascii="Arial" w:hAnsi="Arial" w:cs="Arial"/>
          <w:b/>
          <w:color w:val="007AC2"/>
          <w:sz w:val="16"/>
          <w:lang w:val="en"/>
        </w:rPr>
      </w:pPr>
    </w:p>
    <w:p w14:paraId="01B6D680" w14:textId="0B935198" w:rsidR="00CF3909" w:rsidRPr="00CF3909" w:rsidRDefault="00CF3909" w:rsidP="00CF3909">
      <w:pPr>
        <w:rPr>
          <w:rFonts w:ascii="Arial" w:hAnsi="Arial" w:cs="Arial"/>
          <w:szCs w:val="20"/>
        </w:rPr>
      </w:pPr>
      <w:r w:rsidRPr="00CF3909">
        <w:rPr>
          <w:rFonts w:ascii="Arial" w:hAnsi="Arial" w:cs="Arial"/>
          <w:i/>
          <w:szCs w:val="20"/>
        </w:rPr>
        <w:t xml:space="preserve">LIVERMORE, Calif. </w:t>
      </w:r>
      <w:r w:rsidR="00632A63" w:rsidRPr="00CF3909">
        <w:rPr>
          <w:rFonts w:ascii="Arial" w:hAnsi="Arial" w:cs="Arial"/>
          <w:i/>
          <w:szCs w:val="20"/>
        </w:rPr>
        <w:t xml:space="preserve">– </w:t>
      </w:r>
      <w:r w:rsidR="001722FF" w:rsidRPr="00CF3909">
        <w:rPr>
          <w:rFonts w:ascii="Arial" w:hAnsi="Arial" w:cs="Arial"/>
          <w:i/>
          <w:szCs w:val="20"/>
        </w:rPr>
        <w:t>January</w:t>
      </w:r>
      <w:r w:rsidR="00F5381A">
        <w:rPr>
          <w:rFonts w:ascii="Arial" w:hAnsi="Arial" w:cs="Arial"/>
          <w:i/>
          <w:szCs w:val="20"/>
        </w:rPr>
        <w:t xml:space="preserve"> 23, 2018</w:t>
      </w:r>
      <w:r w:rsidR="00632A63" w:rsidRPr="00CF3909">
        <w:rPr>
          <w:rFonts w:ascii="Arial" w:hAnsi="Arial" w:cs="Arial"/>
          <w:i/>
          <w:szCs w:val="20"/>
        </w:rPr>
        <w:t xml:space="preserve"> – </w:t>
      </w:r>
      <w:r w:rsidRPr="00CF3909">
        <w:rPr>
          <w:rFonts w:ascii="Arial" w:hAnsi="Arial" w:cs="Arial"/>
          <w:szCs w:val="20"/>
        </w:rPr>
        <w:t>Topcon Positioning Group announces the kickoff of the 2018</w:t>
      </w:r>
      <w:r>
        <w:rPr>
          <w:rFonts w:ascii="Arial" w:hAnsi="Arial" w:cs="Arial"/>
          <w:szCs w:val="20"/>
        </w:rPr>
        <w:t xml:space="preserve"> Topcon Technology Roadshow. </w:t>
      </w:r>
      <w:r w:rsidRPr="00CF3909">
        <w:rPr>
          <w:rFonts w:ascii="Arial" w:hAnsi="Arial" w:cs="Arial"/>
          <w:szCs w:val="20"/>
        </w:rPr>
        <w:t xml:space="preserve">The expandable semi-trailer truck with a seated theatre room and product showcase area will embark on its tour February 13 – 14, in Mebane, N.C., and then continue across North America stopping in more than 28 cities hosted by Topcon personnel along with dealer representatives. </w:t>
      </w:r>
    </w:p>
    <w:p w14:paraId="5E4F8B25" w14:textId="77777777" w:rsidR="00CF3909" w:rsidRPr="00CF3909" w:rsidRDefault="00CF3909" w:rsidP="00CF3909">
      <w:pPr>
        <w:rPr>
          <w:rFonts w:ascii="Arial" w:hAnsi="Arial" w:cs="Arial"/>
          <w:szCs w:val="20"/>
        </w:rPr>
      </w:pPr>
    </w:p>
    <w:p w14:paraId="2C99EF73" w14:textId="44BAD3C1" w:rsidR="00CF3909" w:rsidRPr="00CF3909" w:rsidRDefault="00CF3909" w:rsidP="00CF3909">
      <w:pPr>
        <w:rPr>
          <w:rFonts w:ascii="Arial" w:hAnsi="Arial" w:cs="Arial"/>
          <w:szCs w:val="20"/>
        </w:rPr>
      </w:pPr>
      <w:r w:rsidRPr="00CF3909">
        <w:rPr>
          <w:rFonts w:ascii="Arial" w:hAnsi="Arial" w:cs="Arial"/>
          <w:szCs w:val="20"/>
        </w:rPr>
        <w:t xml:space="preserve">The </w:t>
      </w:r>
      <w:hyperlink r:id="rId9" w:history="1">
        <w:r w:rsidRPr="00CF3909">
          <w:rPr>
            <w:rStyle w:val="Hyperlink"/>
            <w:rFonts w:ascii="Arial" w:hAnsi="Arial" w:cs="Arial"/>
            <w:szCs w:val="20"/>
          </w:rPr>
          <w:t>Topcon Technology Roadshow</w:t>
        </w:r>
      </w:hyperlink>
      <w:r w:rsidRPr="00CF3909">
        <w:rPr>
          <w:rFonts w:ascii="Arial" w:hAnsi="Arial" w:cs="Arial"/>
          <w:szCs w:val="20"/>
        </w:rPr>
        <w:t xml:space="preserve"> showcases the latest construction, survey, civil engineering, architecture and design technologies in a hands-on educational environment. The free program features live demonstrations and presentations focused on p</w:t>
      </w:r>
      <w:r>
        <w:rPr>
          <w:rFonts w:ascii="Arial" w:hAnsi="Arial" w:cs="Arial"/>
          <w:szCs w:val="20"/>
        </w:rPr>
        <w:t xml:space="preserve">roductivity and profitability. </w:t>
      </w:r>
      <w:r w:rsidRPr="00CF3909">
        <w:rPr>
          <w:rFonts w:ascii="Arial" w:hAnsi="Arial" w:cs="Arial"/>
          <w:szCs w:val="20"/>
        </w:rPr>
        <w:t>The 2018 tour includes a schedule of multiple days in each city, plus a hands-on end-user training day offered from the Topcon Professional Services team. </w:t>
      </w:r>
    </w:p>
    <w:p w14:paraId="2883D390" w14:textId="77777777" w:rsidR="00CF3909" w:rsidRPr="00CF3909" w:rsidRDefault="00CF3909" w:rsidP="00CF3909">
      <w:pPr>
        <w:rPr>
          <w:rFonts w:ascii="Arial" w:hAnsi="Arial" w:cs="Arial"/>
          <w:szCs w:val="20"/>
        </w:rPr>
      </w:pPr>
    </w:p>
    <w:p w14:paraId="64580B69" w14:textId="77777777" w:rsidR="00CF3909" w:rsidRPr="00CF3909" w:rsidRDefault="00CF3909" w:rsidP="00CF3909">
      <w:pPr>
        <w:rPr>
          <w:rFonts w:ascii="Arial" w:hAnsi="Arial" w:cs="Arial"/>
          <w:szCs w:val="20"/>
        </w:rPr>
      </w:pPr>
      <w:r w:rsidRPr="00CF3909">
        <w:rPr>
          <w:rFonts w:ascii="Arial" w:hAnsi="Arial" w:cs="Arial"/>
          <w:szCs w:val="20"/>
        </w:rPr>
        <w:t xml:space="preserve">“This year’s tour is more exciting than ever before. We are bringing the scope of Topcon solutions to a multitude of locations with an expanded and convenient schedule along with our </w:t>
      </w:r>
      <w:hyperlink r:id="rId10" w:history="1">
        <w:r w:rsidRPr="00CF3909">
          <w:rPr>
            <w:rStyle w:val="Hyperlink"/>
            <w:rFonts w:ascii="Arial" w:hAnsi="Arial" w:cs="Arial"/>
            <w:bCs/>
            <w:iCs/>
            <w:szCs w:val="20"/>
          </w:rPr>
          <w:t>The Intersection of Infrastructure and Technology</w:t>
        </w:r>
      </w:hyperlink>
      <w:r w:rsidRPr="00CF3909">
        <w:rPr>
          <w:rFonts w:ascii="Arial" w:hAnsi="Arial" w:cs="Arial"/>
          <w:szCs w:val="20"/>
        </w:rPr>
        <w:t xml:space="preserve"> theme — the crossroads where construction productivity is improved by applying advanced positioning technology,” said Scott </w:t>
      </w:r>
      <w:proofErr w:type="spellStart"/>
      <w:r w:rsidRPr="00CF3909">
        <w:rPr>
          <w:rFonts w:ascii="Arial" w:hAnsi="Arial" w:cs="Arial"/>
          <w:szCs w:val="20"/>
        </w:rPr>
        <w:t>Langbein</w:t>
      </w:r>
      <w:proofErr w:type="spellEnd"/>
      <w:r w:rsidRPr="00CF3909">
        <w:rPr>
          <w:rFonts w:ascii="Arial" w:hAnsi="Arial" w:cs="Arial"/>
          <w:szCs w:val="20"/>
        </w:rPr>
        <w:t>, Topcon Positioning Group director of marketing in the Americas.</w:t>
      </w:r>
    </w:p>
    <w:p w14:paraId="20BA9BA8" w14:textId="77777777" w:rsidR="00CF3909" w:rsidRPr="00CF3909" w:rsidRDefault="00CF3909" w:rsidP="00CF3909">
      <w:pPr>
        <w:rPr>
          <w:rFonts w:ascii="Arial" w:hAnsi="Arial" w:cs="Arial"/>
          <w:szCs w:val="20"/>
        </w:rPr>
      </w:pPr>
    </w:p>
    <w:p w14:paraId="31F22DB6" w14:textId="4E5A7DF6" w:rsidR="00CF3909" w:rsidRPr="00CF3909" w:rsidRDefault="00CF3909" w:rsidP="00CF3909">
      <w:pPr>
        <w:rPr>
          <w:rFonts w:ascii="Arial" w:hAnsi="Arial" w:cs="Arial"/>
          <w:szCs w:val="20"/>
        </w:rPr>
      </w:pPr>
      <w:r w:rsidRPr="00CF3909">
        <w:rPr>
          <w:rFonts w:ascii="Arial" w:hAnsi="Arial" w:cs="Arial"/>
          <w:szCs w:val="20"/>
        </w:rPr>
        <w:t xml:space="preserve">“Our North American market has many opportunities to address infrastructure demands. With the entire breadth of technology available in the mobile solutions center, Topcon representatives and dealers can identify an attendee’s individual needs and cater the learning experience to those business demands — all brought practically to his or her doorstep without the travel of a traditional user-conference. </w:t>
      </w:r>
    </w:p>
    <w:p w14:paraId="32D06301" w14:textId="77777777" w:rsidR="00CF3909" w:rsidRPr="00CF3909" w:rsidRDefault="00CF3909" w:rsidP="00CF3909">
      <w:pPr>
        <w:rPr>
          <w:rFonts w:ascii="Arial" w:hAnsi="Arial" w:cs="Arial"/>
          <w:szCs w:val="20"/>
        </w:rPr>
      </w:pPr>
    </w:p>
    <w:p w14:paraId="7F72E691" w14:textId="27D74F3F" w:rsidR="00CF3909" w:rsidRPr="00CF3909" w:rsidRDefault="00CF3909" w:rsidP="00CF3909">
      <w:pPr>
        <w:rPr>
          <w:rFonts w:ascii="Arial" w:hAnsi="Arial" w:cs="Arial"/>
          <w:szCs w:val="20"/>
        </w:rPr>
      </w:pPr>
      <w:r w:rsidRPr="00CF3909">
        <w:rPr>
          <w:rFonts w:ascii="Arial" w:hAnsi="Arial" w:cs="Arial"/>
          <w:szCs w:val="20"/>
        </w:rPr>
        <w:t>“We are excited to offer a new intensive training focus day to the tour throughout the U.S. and Canada</w:t>
      </w:r>
      <w:r>
        <w:rPr>
          <w:rFonts w:ascii="Arial" w:hAnsi="Arial" w:cs="Arial"/>
          <w:szCs w:val="20"/>
        </w:rPr>
        <w:t xml:space="preserve">. </w:t>
      </w:r>
      <w:r w:rsidRPr="00CF3909">
        <w:rPr>
          <w:rFonts w:ascii="Arial" w:hAnsi="Arial" w:cs="Arial"/>
          <w:szCs w:val="20"/>
        </w:rPr>
        <w:t xml:space="preserve">Our multi-day session approach for each stop will provide participants with more in-depth learning opportunities. We are looking forward to another great year on the road interacting with positioning professionals and students,” said </w:t>
      </w:r>
      <w:proofErr w:type="spellStart"/>
      <w:r w:rsidRPr="00CF3909">
        <w:rPr>
          <w:rFonts w:ascii="Arial" w:hAnsi="Arial" w:cs="Arial"/>
          <w:szCs w:val="20"/>
        </w:rPr>
        <w:t>Langbein</w:t>
      </w:r>
      <w:proofErr w:type="spellEnd"/>
      <w:r w:rsidRPr="00CF3909">
        <w:rPr>
          <w:rFonts w:ascii="Arial" w:hAnsi="Arial" w:cs="Arial"/>
          <w:szCs w:val="20"/>
        </w:rPr>
        <w:t xml:space="preserve">.  </w:t>
      </w:r>
    </w:p>
    <w:p w14:paraId="76043445" w14:textId="77777777" w:rsidR="00CF3909" w:rsidRPr="00CF3909" w:rsidRDefault="00CF3909" w:rsidP="00CF3909">
      <w:pPr>
        <w:rPr>
          <w:rFonts w:ascii="Arial" w:hAnsi="Arial" w:cs="Arial"/>
          <w:szCs w:val="20"/>
        </w:rPr>
      </w:pPr>
    </w:p>
    <w:p w14:paraId="1A5634FA" w14:textId="6C4220E9" w:rsidR="00CF3909" w:rsidRPr="00CF3909" w:rsidRDefault="00CF3909" w:rsidP="00CF3909">
      <w:pPr>
        <w:rPr>
          <w:rFonts w:ascii="Arial" w:hAnsi="Arial" w:cs="Arial"/>
          <w:szCs w:val="20"/>
        </w:rPr>
      </w:pPr>
      <w:r w:rsidRPr="00CF3909">
        <w:rPr>
          <w:rFonts w:ascii="Arial" w:hAnsi="Arial" w:cs="Arial"/>
          <w:szCs w:val="20"/>
        </w:rPr>
        <w:lastRenderedPageBreak/>
        <w:t xml:space="preserve">Following the kickoff </w:t>
      </w:r>
      <w:r>
        <w:rPr>
          <w:rFonts w:ascii="Arial" w:hAnsi="Arial" w:cs="Arial"/>
          <w:szCs w:val="20"/>
        </w:rPr>
        <w:t xml:space="preserve">Feb. </w:t>
      </w:r>
      <w:r w:rsidRPr="00CF3909">
        <w:rPr>
          <w:rFonts w:ascii="Arial" w:hAnsi="Arial" w:cs="Arial"/>
          <w:szCs w:val="20"/>
        </w:rPr>
        <w:t xml:space="preserve">13 and 14 in North Carolina, the tour is scheduled for the following stops: Inman, South Carolina on Feb. 27 and 28; Homestead, Florida on March 6 and 7; Green Cover Springs, Florida on March 13 and 14; Atlanta, Georgia on March 27 and 28; Houston, Texas on April 3 and 4; Austin, Texas on April 10 and 11; Dallas, Texas on April 17 and 18; Gilbert, Arizona on May 1 and 2; Riverside, California on May 8 and 9; Portland, Oregon on May 22 and 23; Seattle, Washington on June 5 and 6; Vancouver, British Columbia on June 12 and 13; Edmonton, Alberta on June 19 and 20; Winnipeg, Manitoba on June 26 and 27; Bismarck, North Dakota on July 10 and 11; Denver, Colorado on July 17 and 18; Kansas City, Missouri on July 24 and 25; Tulsa, Oklahoma on July 31 and Aug. 1; Bloomington, Minnesota on Aug. 14 and 15; Chicago, Illinois on Aug. 21 and 22; Cincinnati, Ohio on Aug. 28 and 29; Pittsburgh, Pennsylvania on Sept. 11 and 12; Toronto, Ontario on Sept. 25 and 26; Moncton, Manitoba on Oct. 2 and 3; South Plainfield, New Jersey on Oct. 16 and 17; Baltimore, Maryland on Oct. 23 and 24; with its final stop in Washington, DC on Oct. 30 and 31. </w:t>
      </w:r>
    </w:p>
    <w:p w14:paraId="783B22AC" w14:textId="77777777" w:rsidR="00CF3909" w:rsidRPr="00CF3909" w:rsidRDefault="00CF3909" w:rsidP="00CF3909">
      <w:pPr>
        <w:rPr>
          <w:rFonts w:ascii="Arial" w:hAnsi="Arial" w:cs="Arial"/>
          <w:szCs w:val="20"/>
        </w:rPr>
      </w:pPr>
    </w:p>
    <w:p w14:paraId="0FAE281C" w14:textId="77777777" w:rsidR="00CF3909" w:rsidRPr="00CF3909" w:rsidRDefault="00CF3909" w:rsidP="00CF3909">
      <w:pPr>
        <w:rPr>
          <w:rFonts w:ascii="Arial" w:hAnsi="Arial" w:cs="Arial"/>
          <w:bCs/>
          <w:szCs w:val="20"/>
          <w:lang w:val="en-AU"/>
        </w:rPr>
      </w:pPr>
      <w:r w:rsidRPr="00CF3909">
        <w:rPr>
          <w:rFonts w:ascii="Arial" w:hAnsi="Arial" w:cs="Arial"/>
          <w:szCs w:val="20"/>
        </w:rPr>
        <w:t xml:space="preserve">The most up-to-date schedule, and additional information is available at </w:t>
      </w:r>
      <w:hyperlink r:id="rId11" w:history="1">
        <w:r w:rsidRPr="00CF3909">
          <w:rPr>
            <w:rStyle w:val="Hyperlink"/>
            <w:rFonts w:ascii="Arial" w:hAnsi="Arial" w:cs="Arial"/>
            <w:szCs w:val="20"/>
          </w:rPr>
          <w:t>topconroadshow.com</w:t>
        </w:r>
      </w:hyperlink>
      <w:r w:rsidRPr="00CF3909">
        <w:rPr>
          <w:rFonts w:ascii="Arial" w:hAnsi="Arial" w:cs="Arial"/>
          <w:szCs w:val="20"/>
        </w:rPr>
        <w:t>.</w:t>
      </w:r>
    </w:p>
    <w:p w14:paraId="20EDDD37" w14:textId="50C3C704" w:rsidR="00BF529A" w:rsidRPr="00BF529A" w:rsidRDefault="00BF529A" w:rsidP="00CF3909">
      <w:pPr>
        <w:rPr>
          <w:rFonts w:ascii="Arial" w:hAnsi="Arial" w:cs="Arial"/>
          <w:sz w:val="18"/>
          <w:szCs w:val="20"/>
        </w:rPr>
      </w:pPr>
    </w:p>
    <w:p w14:paraId="50781AD0" w14:textId="5FA1F259" w:rsidR="002A070C" w:rsidRPr="00CF3909" w:rsidRDefault="002A070C" w:rsidP="00827142">
      <w:pPr>
        <w:rPr>
          <w:rFonts w:ascii="Arial" w:hAnsi="Arial" w:cs="Arial"/>
          <w:sz w:val="10"/>
          <w:szCs w:val="20"/>
        </w:rPr>
      </w:pPr>
    </w:p>
    <w:p w14:paraId="7D2A1108" w14:textId="51DC6A99" w:rsidR="00CF3909" w:rsidRPr="00CF3909" w:rsidRDefault="00F61E29" w:rsidP="00F61E29">
      <w:pPr>
        <w:rPr>
          <w:rFonts w:ascii="Arial" w:hAnsi="Arial" w:cs="Arial"/>
          <w:color w:val="808080" w:themeColor="background1" w:themeShade="80"/>
          <w:sz w:val="18"/>
          <w:szCs w:val="16"/>
        </w:rPr>
      </w:pPr>
      <w:r w:rsidRPr="00CF3909">
        <w:rPr>
          <w:rFonts w:ascii="Arial" w:hAnsi="Arial" w:cs="Arial"/>
          <w:b/>
          <w:color w:val="808080" w:themeColor="background1" w:themeShade="80"/>
          <w:sz w:val="18"/>
          <w:szCs w:val="16"/>
        </w:rPr>
        <w:t xml:space="preserve">About Topcon Positioning Group </w:t>
      </w:r>
      <w:r w:rsidRPr="00CF3909">
        <w:rPr>
          <w:rFonts w:ascii="Arial" w:hAnsi="Arial" w:cs="Arial"/>
          <w:b/>
          <w:color w:val="808080" w:themeColor="background1" w:themeShade="80"/>
          <w:sz w:val="18"/>
          <w:szCs w:val="16"/>
        </w:rPr>
        <w:br/>
      </w:r>
      <w:r w:rsidR="002A070C" w:rsidRPr="00CF3909">
        <w:rPr>
          <w:rFonts w:ascii="Arial" w:hAnsi="Arial" w:cs="Arial"/>
          <w:color w:val="808080" w:themeColor="background1" w:themeShade="80"/>
          <w:sz w:val="18"/>
          <w:szCs w:val="16"/>
        </w:rPr>
        <w:t>Topcon Positioning Group is headquartered in Livermore, California, U.S. (</w:t>
      </w:r>
      <w:hyperlink r:id="rId12" w:history="1">
        <w:r w:rsidR="002A070C" w:rsidRPr="00CF3909">
          <w:rPr>
            <w:rStyle w:val="Hyperlink"/>
            <w:rFonts w:ascii="Arial" w:hAnsi="Arial" w:cs="Arial"/>
            <w:sz w:val="18"/>
            <w:szCs w:val="16"/>
          </w:rPr>
          <w:t>topconpositioning.com</w:t>
        </w:r>
      </w:hyperlink>
      <w:r w:rsidR="002A070C" w:rsidRPr="00CF3909">
        <w:rPr>
          <w:rFonts w:ascii="Arial" w:hAnsi="Arial" w:cs="Arial"/>
          <w:color w:val="808080" w:themeColor="background1" w:themeShade="80"/>
          <w:sz w:val="18"/>
          <w:szCs w:val="16"/>
        </w:rPr>
        <w:t xml:space="preserve">). Its European head office is in </w:t>
      </w:r>
      <w:proofErr w:type="spellStart"/>
      <w:r w:rsidR="002A070C" w:rsidRPr="00CF3909">
        <w:rPr>
          <w:rFonts w:ascii="Arial" w:hAnsi="Arial" w:cs="Arial"/>
          <w:color w:val="808080" w:themeColor="background1" w:themeShade="80"/>
          <w:sz w:val="18"/>
          <w:szCs w:val="16"/>
        </w:rPr>
        <w:t>Capel</w:t>
      </w:r>
      <w:r w:rsidR="00995B68" w:rsidRPr="00CF3909">
        <w:rPr>
          <w:rFonts w:ascii="Arial" w:hAnsi="Arial" w:cs="Arial"/>
          <w:color w:val="808080" w:themeColor="background1" w:themeShade="80"/>
          <w:sz w:val="18"/>
          <w:szCs w:val="16"/>
        </w:rPr>
        <w:t>le</w:t>
      </w:r>
      <w:proofErr w:type="spellEnd"/>
      <w:r w:rsidR="00995B68" w:rsidRPr="00CF3909">
        <w:rPr>
          <w:rFonts w:ascii="Arial" w:hAnsi="Arial" w:cs="Arial"/>
          <w:color w:val="808080" w:themeColor="background1" w:themeShade="80"/>
          <w:sz w:val="18"/>
          <w:szCs w:val="16"/>
        </w:rPr>
        <w:t xml:space="preserve"> </w:t>
      </w:r>
      <w:proofErr w:type="spellStart"/>
      <w:r w:rsidR="00995B68" w:rsidRPr="00CF3909">
        <w:rPr>
          <w:rFonts w:ascii="Arial" w:hAnsi="Arial" w:cs="Arial"/>
          <w:color w:val="808080" w:themeColor="background1" w:themeShade="80"/>
          <w:sz w:val="18"/>
          <w:szCs w:val="16"/>
        </w:rPr>
        <w:t>a/d</w:t>
      </w:r>
      <w:proofErr w:type="spellEnd"/>
      <w:r w:rsidR="00995B68" w:rsidRPr="00CF3909">
        <w:rPr>
          <w:rFonts w:ascii="Arial" w:hAnsi="Arial" w:cs="Arial"/>
          <w:color w:val="808080" w:themeColor="background1" w:themeShade="80"/>
          <w:sz w:val="18"/>
          <w:szCs w:val="16"/>
        </w:rPr>
        <w:t xml:space="preserve"> </w:t>
      </w:r>
      <w:proofErr w:type="spellStart"/>
      <w:r w:rsidR="00995B68" w:rsidRPr="00CF3909">
        <w:rPr>
          <w:rFonts w:ascii="Arial" w:hAnsi="Arial" w:cs="Arial"/>
          <w:color w:val="808080" w:themeColor="background1" w:themeShade="80"/>
          <w:sz w:val="18"/>
          <w:szCs w:val="16"/>
        </w:rPr>
        <w:t>IJssel</w:t>
      </w:r>
      <w:proofErr w:type="spellEnd"/>
      <w:r w:rsidR="00995B68" w:rsidRPr="00CF3909">
        <w:rPr>
          <w:rFonts w:ascii="Arial" w:hAnsi="Arial" w:cs="Arial"/>
          <w:color w:val="808080" w:themeColor="background1" w:themeShade="80"/>
          <w:sz w:val="18"/>
          <w:szCs w:val="16"/>
        </w:rPr>
        <w:t xml:space="preserve">, the Netherlands. </w:t>
      </w:r>
      <w:r w:rsidR="002A070C" w:rsidRPr="00CF3909">
        <w:rPr>
          <w:rFonts w:ascii="Arial" w:hAnsi="Arial" w:cs="Arial"/>
          <w:color w:val="808080" w:themeColor="background1" w:themeShade="80"/>
          <w:sz w:val="18"/>
          <w:szCs w:val="16"/>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2A070C" w:rsidRPr="00CF3909">
          <w:rPr>
            <w:rStyle w:val="Hyperlink"/>
            <w:rFonts w:ascii="Arial" w:hAnsi="Arial" w:cs="Arial"/>
            <w:sz w:val="18"/>
            <w:szCs w:val="16"/>
          </w:rPr>
          <w:t>topcon.com</w:t>
        </w:r>
      </w:hyperlink>
      <w:r w:rsidR="002A070C" w:rsidRPr="00CF3909">
        <w:rPr>
          <w:rFonts w:ascii="Arial" w:hAnsi="Arial" w:cs="Arial"/>
          <w:color w:val="808080" w:themeColor="background1" w:themeShade="80"/>
          <w:sz w:val="18"/>
          <w:szCs w:val="16"/>
        </w:rPr>
        <w:t>), founded in 1932, is traded on t</w:t>
      </w:r>
      <w:r w:rsidR="00BE666D" w:rsidRPr="00CF3909">
        <w:rPr>
          <w:rFonts w:ascii="Arial" w:hAnsi="Arial" w:cs="Arial"/>
          <w:color w:val="808080" w:themeColor="background1" w:themeShade="80"/>
          <w:sz w:val="18"/>
          <w:szCs w:val="16"/>
        </w:rPr>
        <w:t>he Tokyo Stock Exchange (7732).</w:t>
      </w:r>
    </w:p>
    <w:p w14:paraId="4D7D5DE9" w14:textId="77777777" w:rsidR="001722FF" w:rsidRPr="00CF3909" w:rsidRDefault="001722FF" w:rsidP="00F61E29">
      <w:pPr>
        <w:rPr>
          <w:rFonts w:ascii="Arial" w:hAnsi="Arial" w:cs="Arial"/>
          <w:color w:val="808080" w:themeColor="background1" w:themeShade="80"/>
          <w:sz w:val="18"/>
          <w:szCs w:val="16"/>
        </w:rPr>
      </w:pPr>
    </w:p>
    <w:p w14:paraId="4AADD657" w14:textId="1C058A60" w:rsidR="00BE666D" w:rsidRPr="00CF3909" w:rsidRDefault="00F61E29" w:rsidP="00F61E29">
      <w:pPr>
        <w:jc w:val="center"/>
        <w:rPr>
          <w:rFonts w:ascii="Arial" w:hAnsi="Arial" w:cs="Arial"/>
          <w:color w:val="808080" w:themeColor="background1" w:themeShade="80"/>
          <w:sz w:val="18"/>
          <w:szCs w:val="16"/>
        </w:rPr>
      </w:pPr>
      <w:r w:rsidRPr="00CF3909">
        <w:rPr>
          <w:rFonts w:ascii="Arial" w:hAnsi="Arial" w:cs="Arial"/>
          <w:color w:val="808080" w:themeColor="background1" w:themeShade="80"/>
          <w:sz w:val="18"/>
          <w:szCs w:val="16"/>
        </w:rPr>
        <w:t># # #</w:t>
      </w:r>
    </w:p>
    <w:p w14:paraId="0FF251D1" w14:textId="77777777" w:rsidR="00CF3909" w:rsidRPr="00CF3909" w:rsidRDefault="00CF3909" w:rsidP="00F61E29">
      <w:pPr>
        <w:jc w:val="center"/>
        <w:rPr>
          <w:rFonts w:ascii="Arial" w:hAnsi="Arial" w:cs="Arial"/>
          <w:color w:val="808080" w:themeColor="background1" w:themeShade="80"/>
          <w:sz w:val="18"/>
          <w:szCs w:val="16"/>
        </w:rPr>
      </w:pPr>
    </w:p>
    <w:p w14:paraId="56D02AFB" w14:textId="77777777" w:rsidR="00F61E29" w:rsidRPr="00CF3909" w:rsidRDefault="00F61E29" w:rsidP="00F61E29">
      <w:pPr>
        <w:outlineLvl w:val="0"/>
        <w:rPr>
          <w:rFonts w:ascii="Arial" w:hAnsi="Arial" w:cs="Arial"/>
          <w:b/>
          <w:color w:val="808080" w:themeColor="background1" w:themeShade="80"/>
          <w:sz w:val="18"/>
          <w:szCs w:val="16"/>
        </w:rPr>
      </w:pPr>
      <w:r w:rsidRPr="00CF3909">
        <w:rPr>
          <w:rFonts w:ascii="Arial" w:hAnsi="Arial" w:cs="Arial"/>
          <w:b/>
          <w:color w:val="808080" w:themeColor="background1" w:themeShade="80"/>
          <w:sz w:val="18"/>
          <w:szCs w:val="16"/>
        </w:rPr>
        <w:t xml:space="preserve">Press Contact: </w:t>
      </w:r>
    </w:p>
    <w:p w14:paraId="0B0DC8C3" w14:textId="77777777" w:rsidR="00F61E29" w:rsidRPr="00CF3909" w:rsidRDefault="00F61E29" w:rsidP="00F61E29">
      <w:pPr>
        <w:outlineLvl w:val="0"/>
        <w:rPr>
          <w:rFonts w:ascii="Arial" w:hAnsi="Arial" w:cs="Arial"/>
          <w:bCs/>
          <w:color w:val="808080" w:themeColor="background1" w:themeShade="80"/>
          <w:sz w:val="18"/>
          <w:szCs w:val="16"/>
        </w:rPr>
      </w:pPr>
      <w:r w:rsidRPr="00CF3909">
        <w:rPr>
          <w:rFonts w:ascii="Arial" w:hAnsi="Arial" w:cs="Arial"/>
          <w:bCs/>
          <w:color w:val="808080" w:themeColor="background1" w:themeShade="80"/>
          <w:sz w:val="18"/>
          <w:szCs w:val="16"/>
        </w:rPr>
        <w:t>Topcon Positioning Group</w:t>
      </w:r>
    </w:p>
    <w:p w14:paraId="2ADB91B2" w14:textId="77777777" w:rsidR="00F61E29" w:rsidRPr="00CF3909" w:rsidRDefault="004E5543" w:rsidP="00F61E29">
      <w:pPr>
        <w:outlineLvl w:val="0"/>
        <w:rPr>
          <w:rFonts w:ascii="Arial" w:hAnsi="Arial" w:cs="Arial"/>
          <w:bCs/>
          <w:color w:val="808080" w:themeColor="background1" w:themeShade="80"/>
          <w:sz w:val="18"/>
          <w:szCs w:val="16"/>
          <w:lang w:val="it-IT"/>
        </w:rPr>
      </w:pPr>
      <w:hyperlink r:id="rId14" w:history="1">
        <w:r w:rsidR="00F61E29" w:rsidRPr="00CF3909">
          <w:rPr>
            <w:rStyle w:val="Hyperlink"/>
            <w:rFonts w:ascii="Arial" w:hAnsi="Arial" w:cs="Arial"/>
            <w:bCs/>
            <w:color w:val="808080" w:themeColor="background1" w:themeShade="80"/>
            <w:sz w:val="18"/>
            <w:szCs w:val="16"/>
            <w:lang w:val="it-IT"/>
          </w:rPr>
          <w:t>CorpComm@topcon.com</w:t>
        </w:r>
      </w:hyperlink>
    </w:p>
    <w:p w14:paraId="0A116BCA" w14:textId="1CC17708" w:rsidR="00D42632" w:rsidRPr="00CF3909" w:rsidRDefault="00FD1C0E" w:rsidP="00FD1C0E">
      <w:pPr>
        <w:outlineLvl w:val="0"/>
        <w:rPr>
          <w:rFonts w:ascii="Arial" w:hAnsi="Arial" w:cs="Arial"/>
          <w:bCs/>
          <w:color w:val="808080" w:themeColor="background1" w:themeShade="80"/>
          <w:sz w:val="16"/>
          <w:szCs w:val="16"/>
        </w:rPr>
      </w:pPr>
      <w:r w:rsidRPr="00CF3909">
        <w:rPr>
          <w:rFonts w:ascii="Arial" w:hAnsi="Arial" w:cs="Arial"/>
          <w:bCs/>
          <w:color w:val="808080" w:themeColor="background1" w:themeShade="80"/>
          <w:sz w:val="18"/>
          <w:szCs w:val="16"/>
        </w:rPr>
        <w:t xml:space="preserve">Staci Fitzgerald, +1 925-245-8610 </w:t>
      </w:r>
      <w:r w:rsidRPr="00CF3909">
        <w:rPr>
          <w:rFonts w:ascii="Arial" w:hAnsi="Arial" w:cs="Arial"/>
          <w:bCs/>
          <w:color w:val="808080" w:themeColor="background1" w:themeShade="80"/>
          <w:sz w:val="16"/>
          <w:szCs w:val="16"/>
        </w:rPr>
        <w:br/>
      </w:r>
    </w:p>
    <w:sectPr w:rsidR="00D42632" w:rsidRPr="00CF3909" w:rsidSect="00CF3909">
      <w:headerReference w:type="first" r:id="rId15"/>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E4E66B" w14:textId="77777777" w:rsidR="004E5543" w:rsidRDefault="004E5543">
      <w:r>
        <w:separator/>
      </w:r>
    </w:p>
  </w:endnote>
  <w:endnote w:type="continuationSeparator" w:id="0">
    <w:p w14:paraId="24DC1FCA" w14:textId="77777777" w:rsidR="004E5543" w:rsidRDefault="004E5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58A6E4" w14:textId="77777777" w:rsidR="004E5543" w:rsidRDefault="004E5543">
      <w:r>
        <w:separator/>
      </w:r>
    </w:p>
  </w:footnote>
  <w:footnote w:type="continuationSeparator" w:id="0">
    <w:p w14:paraId="3648D84D" w14:textId="77777777" w:rsidR="004E5543" w:rsidRDefault="004E55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16781"/>
    <w:rsid w:val="001269F8"/>
    <w:rsid w:val="00130BEA"/>
    <w:rsid w:val="001406BB"/>
    <w:rsid w:val="00163F32"/>
    <w:rsid w:val="001722FF"/>
    <w:rsid w:val="00177523"/>
    <w:rsid w:val="001855FB"/>
    <w:rsid w:val="001A276A"/>
    <w:rsid w:val="001A5950"/>
    <w:rsid w:val="001B6BA0"/>
    <w:rsid w:val="001D47AE"/>
    <w:rsid w:val="001D71E9"/>
    <w:rsid w:val="001E495F"/>
    <w:rsid w:val="00210E5A"/>
    <w:rsid w:val="0021108A"/>
    <w:rsid w:val="00211CAC"/>
    <w:rsid w:val="0021353A"/>
    <w:rsid w:val="00213BC9"/>
    <w:rsid w:val="00220127"/>
    <w:rsid w:val="00234742"/>
    <w:rsid w:val="00236756"/>
    <w:rsid w:val="002377E8"/>
    <w:rsid w:val="00247FF4"/>
    <w:rsid w:val="00265C21"/>
    <w:rsid w:val="00267859"/>
    <w:rsid w:val="002751AA"/>
    <w:rsid w:val="002811A7"/>
    <w:rsid w:val="00283421"/>
    <w:rsid w:val="002A070C"/>
    <w:rsid w:val="002A1B4F"/>
    <w:rsid w:val="002A56AD"/>
    <w:rsid w:val="002B2158"/>
    <w:rsid w:val="002B32F1"/>
    <w:rsid w:val="002B65A9"/>
    <w:rsid w:val="002C1C4F"/>
    <w:rsid w:val="002E2BC8"/>
    <w:rsid w:val="002E5E21"/>
    <w:rsid w:val="002F29C4"/>
    <w:rsid w:val="00313F6E"/>
    <w:rsid w:val="003163AA"/>
    <w:rsid w:val="0032173B"/>
    <w:rsid w:val="003217F4"/>
    <w:rsid w:val="00340920"/>
    <w:rsid w:val="003507A9"/>
    <w:rsid w:val="00353911"/>
    <w:rsid w:val="00355294"/>
    <w:rsid w:val="00364AA6"/>
    <w:rsid w:val="003801D4"/>
    <w:rsid w:val="0038352E"/>
    <w:rsid w:val="0039761D"/>
    <w:rsid w:val="003A6C06"/>
    <w:rsid w:val="003A7243"/>
    <w:rsid w:val="003B1941"/>
    <w:rsid w:val="003B200E"/>
    <w:rsid w:val="003B4135"/>
    <w:rsid w:val="003C3E10"/>
    <w:rsid w:val="003C6648"/>
    <w:rsid w:val="003F134C"/>
    <w:rsid w:val="003F5E34"/>
    <w:rsid w:val="00412292"/>
    <w:rsid w:val="00413E95"/>
    <w:rsid w:val="00416269"/>
    <w:rsid w:val="0043387D"/>
    <w:rsid w:val="00433A38"/>
    <w:rsid w:val="0046547D"/>
    <w:rsid w:val="00471166"/>
    <w:rsid w:val="00482A23"/>
    <w:rsid w:val="00486106"/>
    <w:rsid w:val="004B7B79"/>
    <w:rsid w:val="004C2A52"/>
    <w:rsid w:val="004C4705"/>
    <w:rsid w:val="004C77DD"/>
    <w:rsid w:val="004C7DC9"/>
    <w:rsid w:val="004D399D"/>
    <w:rsid w:val="004E5543"/>
    <w:rsid w:val="004F0BDC"/>
    <w:rsid w:val="00513E5B"/>
    <w:rsid w:val="00514C2F"/>
    <w:rsid w:val="00527B70"/>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2A63"/>
    <w:rsid w:val="00637E81"/>
    <w:rsid w:val="0064309C"/>
    <w:rsid w:val="006456AE"/>
    <w:rsid w:val="0065235A"/>
    <w:rsid w:val="00653C74"/>
    <w:rsid w:val="006643CB"/>
    <w:rsid w:val="006713DD"/>
    <w:rsid w:val="006926B3"/>
    <w:rsid w:val="006A0908"/>
    <w:rsid w:val="006B2A9A"/>
    <w:rsid w:val="006C6B2E"/>
    <w:rsid w:val="006D3CF8"/>
    <w:rsid w:val="006E05C2"/>
    <w:rsid w:val="006E2F31"/>
    <w:rsid w:val="006F2B49"/>
    <w:rsid w:val="0071332E"/>
    <w:rsid w:val="007530F6"/>
    <w:rsid w:val="00756005"/>
    <w:rsid w:val="007605FA"/>
    <w:rsid w:val="00765F8C"/>
    <w:rsid w:val="00773A4C"/>
    <w:rsid w:val="0078639E"/>
    <w:rsid w:val="00790B1E"/>
    <w:rsid w:val="00790F45"/>
    <w:rsid w:val="007B0EFE"/>
    <w:rsid w:val="007B2ADF"/>
    <w:rsid w:val="007B3233"/>
    <w:rsid w:val="007C481B"/>
    <w:rsid w:val="007C5005"/>
    <w:rsid w:val="007D26FD"/>
    <w:rsid w:val="007F4506"/>
    <w:rsid w:val="00810DE0"/>
    <w:rsid w:val="00813858"/>
    <w:rsid w:val="008141F4"/>
    <w:rsid w:val="00823C59"/>
    <w:rsid w:val="00827142"/>
    <w:rsid w:val="00832E9A"/>
    <w:rsid w:val="008469A0"/>
    <w:rsid w:val="00846CEF"/>
    <w:rsid w:val="00853C9A"/>
    <w:rsid w:val="008702B4"/>
    <w:rsid w:val="00870D37"/>
    <w:rsid w:val="008802C4"/>
    <w:rsid w:val="00882DC6"/>
    <w:rsid w:val="00891FF7"/>
    <w:rsid w:val="008962D4"/>
    <w:rsid w:val="008D0202"/>
    <w:rsid w:val="008F54A3"/>
    <w:rsid w:val="009115C1"/>
    <w:rsid w:val="00911FD9"/>
    <w:rsid w:val="009434F4"/>
    <w:rsid w:val="00953F3D"/>
    <w:rsid w:val="00956EF7"/>
    <w:rsid w:val="009666D5"/>
    <w:rsid w:val="00975493"/>
    <w:rsid w:val="00985028"/>
    <w:rsid w:val="009914F1"/>
    <w:rsid w:val="00995B68"/>
    <w:rsid w:val="009964DE"/>
    <w:rsid w:val="009C3261"/>
    <w:rsid w:val="00A06D66"/>
    <w:rsid w:val="00A36D45"/>
    <w:rsid w:val="00A47E24"/>
    <w:rsid w:val="00A53662"/>
    <w:rsid w:val="00A57BD4"/>
    <w:rsid w:val="00A60195"/>
    <w:rsid w:val="00A9365C"/>
    <w:rsid w:val="00A95736"/>
    <w:rsid w:val="00A976A5"/>
    <w:rsid w:val="00AA20B3"/>
    <w:rsid w:val="00AA2A43"/>
    <w:rsid w:val="00AA5C55"/>
    <w:rsid w:val="00AB50D8"/>
    <w:rsid w:val="00AC09BA"/>
    <w:rsid w:val="00AE6481"/>
    <w:rsid w:val="00B1099D"/>
    <w:rsid w:val="00B402B7"/>
    <w:rsid w:val="00B4058E"/>
    <w:rsid w:val="00B64457"/>
    <w:rsid w:val="00B92736"/>
    <w:rsid w:val="00B92C56"/>
    <w:rsid w:val="00B92CFE"/>
    <w:rsid w:val="00BA6826"/>
    <w:rsid w:val="00BB19B5"/>
    <w:rsid w:val="00BB25D3"/>
    <w:rsid w:val="00BB4455"/>
    <w:rsid w:val="00BC6358"/>
    <w:rsid w:val="00BD71D0"/>
    <w:rsid w:val="00BE5DE2"/>
    <w:rsid w:val="00BE666D"/>
    <w:rsid w:val="00BF1DD5"/>
    <w:rsid w:val="00BF37F1"/>
    <w:rsid w:val="00BF529A"/>
    <w:rsid w:val="00C01690"/>
    <w:rsid w:val="00C03ADA"/>
    <w:rsid w:val="00C23A3B"/>
    <w:rsid w:val="00C24DBF"/>
    <w:rsid w:val="00C31391"/>
    <w:rsid w:val="00C33DB6"/>
    <w:rsid w:val="00C638D1"/>
    <w:rsid w:val="00C71809"/>
    <w:rsid w:val="00C7597C"/>
    <w:rsid w:val="00C817C9"/>
    <w:rsid w:val="00C92C21"/>
    <w:rsid w:val="00C958B3"/>
    <w:rsid w:val="00CD3455"/>
    <w:rsid w:val="00CD3535"/>
    <w:rsid w:val="00CE188F"/>
    <w:rsid w:val="00CE7843"/>
    <w:rsid w:val="00CF3909"/>
    <w:rsid w:val="00CF403B"/>
    <w:rsid w:val="00CF7FC5"/>
    <w:rsid w:val="00D06CD0"/>
    <w:rsid w:val="00D1630B"/>
    <w:rsid w:val="00D21DEA"/>
    <w:rsid w:val="00D250E6"/>
    <w:rsid w:val="00D42632"/>
    <w:rsid w:val="00D47414"/>
    <w:rsid w:val="00D55832"/>
    <w:rsid w:val="00D62FA8"/>
    <w:rsid w:val="00D6369D"/>
    <w:rsid w:val="00D647FC"/>
    <w:rsid w:val="00D6784A"/>
    <w:rsid w:val="00D70AF0"/>
    <w:rsid w:val="00D70EE2"/>
    <w:rsid w:val="00D91CF0"/>
    <w:rsid w:val="00D979CB"/>
    <w:rsid w:val="00DA66FE"/>
    <w:rsid w:val="00DC60A0"/>
    <w:rsid w:val="00E07F73"/>
    <w:rsid w:val="00E16158"/>
    <w:rsid w:val="00E32B47"/>
    <w:rsid w:val="00E74974"/>
    <w:rsid w:val="00E95EFF"/>
    <w:rsid w:val="00EB1000"/>
    <w:rsid w:val="00EC3044"/>
    <w:rsid w:val="00ED70D3"/>
    <w:rsid w:val="00EE1C16"/>
    <w:rsid w:val="00EE33D2"/>
    <w:rsid w:val="00F20CD6"/>
    <w:rsid w:val="00F25765"/>
    <w:rsid w:val="00F463E2"/>
    <w:rsid w:val="00F5381A"/>
    <w:rsid w:val="00F55F20"/>
    <w:rsid w:val="00F6101F"/>
    <w:rsid w:val="00F61E29"/>
    <w:rsid w:val="00F62C6C"/>
    <w:rsid w:val="00F757D3"/>
    <w:rsid w:val="00F81B4F"/>
    <w:rsid w:val="00F860E1"/>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opconroadshow.com/" TargetMode="External"/><Relationship Id="rId12" Type="http://schemas.openxmlformats.org/officeDocument/2006/relationships/hyperlink" Target="https://www.topconpositioning.com/"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topconroadshow.com/" TargetMode="External"/><Relationship Id="rId10" Type="http://schemas.openxmlformats.org/officeDocument/2006/relationships/hyperlink" Target="https://www.topconpositioning.com/infrastructu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76C81-7C5F-DB4A-AF8C-04D73BD46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649</Words>
  <Characters>3703</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4344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4</cp:revision>
  <cp:lastPrinted>2015-08-13T12:52:00Z</cp:lastPrinted>
  <dcterms:created xsi:type="dcterms:W3CDTF">2018-01-19T20:23:00Z</dcterms:created>
  <dcterms:modified xsi:type="dcterms:W3CDTF">2018-01-23T20:33:00Z</dcterms:modified>
  <cp:category/>
</cp:coreProperties>
</file>