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7777777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67ECEBF8" w14:textId="33B97612" w:rsidR="00FD1C0E" w:rsidRDefault="00084569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58FE6B3B" wp14:editId="2F8B55E9">
            <wp:extent cx="1878941" cy="1502089"/>
            <wp:effectExtent l="0" t="0" r="1270" b="0"/>
            <wp:docPr id="3" name="Picture 3" descr="/Users/lauren/Desktop/Topcon_Press Kits_YII 2017/02_Topcon_Press-kit_MAGNET/Topcon_MAGNET_4_3_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auren/Desktop/Topcon_Press Kits_YII 2017/02_Topcon_Press-kit_MAGNET/Topcon_MAGNET_4_3_1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17" cy="153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6E1A" w14:textId="7DF2D546" w:rsidR="00FD1C0E" w:rsidRPr="007B0EFE" w:rsidRDefault="00827142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</w:rPr>
      </w:pPr>
      <w:r w:rsidRPr="00827142">
        <w:rPr>
          <w:rFonts w:ascii="Arial" w:hAnsi="Arial" w:cs="Arial"/>
          <w:b/>
          <w:color w:val="007AC2"/>
          <w:sz w:val="36"/>
        </w:rPr>
        <w:t xml:space="preserve">Topcon announces connectivity </w:t>
      </w:r>
      <w:r>
        <w:rPr>
          <w:rFonts w:ascii="Arial" w:hAnsi="Arial" w:cs="Arial"/>
          <w:b/>
          <w:color w:val="007AC2"/>
          <w:sz w:val="36"/>
        </w:rPr>
        <w:br/>
      </w:r>
      <w:r w:rsidRPr="00827142">
        <w:rPr>
          <w:rFonts w:ascii="Arial" w:hAnsi="Arial" w:cs="Arial"/>
          <w:b/>
          <w:color w:val="007AC2"/>
          <w:sz w:val="36"/>
        </w:rPr>
        <w:t xml:space="preserve">enhancements with Bentley Systems </w:t>
      </w:r>
    </w:p>
    <w:p w14:paraId="62DB21BD" w14:textId="6FC58E37" w:rsidR="00827142" w:rsidRPr="0064068F" w:rsidRDefault="00612FA3" w:rsidP="00827142">
      <w:pPr>
        <w:rPr>
          <w:rFonts w:ascii="Arial" w:hAnsi="Arial" w:cs="Arial"/>
          <w:sz w:val="22"/>
          <w:szCs w:val="22"/>
        </w:rPr>
      </w:pPr>
      <w:r w:rsidRPr="0064068F">
        <w:rPr>
          <w:rFonts w:ascii="Arial" w:hAnsi="Arial" w:cs="Arial"/>
          <w:i/>
          <w:sz w:val="22"/>
          <w:szCs w:val="22"/>
        </w:rPr>
        <w:t>LIVERMORE, Calif., U.S./ CAPELLE A/D IJSSEL</w:t>
      </w:r>
      <w:r w:rsidR="00995B68" w:rsidRPr="0064068F">
        <w:rPr>
          <w:rFonts w:ascii="Arial" w:hAnsi="Arial" w:cs="Arial"/>
          <w:i/>
          <w:sz w:val="22"/>
          <w:szCs w:val="22"/>
        </w:rPr>
        <w:t xml:space="preserve">, the Netherlands – </w:t>
      </w:r>
      <w:r w:rsidR="007F4506" w:rsidRPr="0064068F">
        <w:rPr>
          <w:rFonts w:ascii="Arial" w:hAnsi="Arial" w:cs="Arial"/>
          <w:i/>
          <w:sz w:val="22"/>
          <w:szCs w:val="22"/>
        </w:rPr>
        <w:t>October</w:t>
      </w:r>
      <w:r w:rsidR="00FD1C0E" w:rsidRPr="0064068F">
        <w:rPr>
          <w:rFonts w:ascii="Arial" w:hAnsi="Arial" w:cs="Arial"/>
          <w:i/>
          <w:sz w:val="22"/>
          <w:szCs w:val="22"/>
        </w:rPr>
        <w:t xml:space="preserve"> </w:t>
      </w:r>
      <w:r w:rsidR="0027691C">
        <w:rPr>
          <w:rFonts w:ascii="Arial" w:hAnsi="Arial" w:cs="Arial"/>
          <w:i/>
          <w:sz w:val="22"/>
          <w:szCs w:val="22"/>
        </w:rPr>
        <w:t>9</w:t>
      </w:r>
      <w:r w:rsidR="00FD1C0E" w:rsidRPr="0064068F">
        <w:rPr>
          <w:rFonts w:ascii="Arial" w:hAnsi="Arial" w:cs="Arial"/>
          <w:i/>
          <w:sz w:val="22"/>
          <w:szCs w:val="22"/>
        </w:rPr>
        <w:t xml:space="preserve">, </w:t>
      </w:r>
      <w:r w:rsidR="007F4506" w:rsidRPr="0064068F">
        <w:rPr>
          <w:rFonts w:ascii="Arial" w:hAnsi="Arial" w:cs="Arial"/>
          <w:i/>
          <w:sz w:val="22"/>
          <w:szCs w:val="22"/>
        </w:rPr>
        <w:t>2017</w:t>
      </w:r>
      <w:r w:rsidR="002A070C" w:rsidRPr="0064068F">
        <w:rPr>
          <w:rFonts w:ascii="Arial" w:hAnsi="Arial" w:cs="Arial"/>
          <w:i/>
          <w:sz w:val="22"/>
          <w:szCs w:val="22"/>
        </w:rPr>
        <w:t xml:space="preserve"> –</w:t>
      </w:r>
      <w:r w:rsidR="00827142" w:rsidRPr="0064068F">
        <w:rPr>
          <w:rFonts w:ascii="Arial" w:eastAsiaTheme="minorEastAsia" w:hAnsi="Arial" w:cs="Arial"/>
          <w:sz w:val="22"/>
          <w:szCs w:val="22"/>
          <w:lang w:eastAsia="ja-JP"/>
        </w:rPr>
        <w:t xml:space="preserve"> </w:t>
      </w:r>
      <w:r w:rsidR="00827142" w:rsidRPr="0064068F">
        <w:rPr>
          <w:rFonts w:ascii="Arial" w:hAnsi="Arial" w:cs="Arial"/>
          <w:sz w:val="22"/>
          <w:szCs w:val="22"/>
        </w:rPr>
        <w:t>Topcon Positioning Group announces advances in its direct communication between the Bentley Systems design applications and the Topcon suite of software solutions with</w:t>
      </w:r>
      <w:r w:rsidR="004B7B79" w:rsidRPr="0064068F">
        <w:rPr>
          <w:rFonts w:ascii="Arial" w:hAnsi="Arial" w:cs="Arial"/>
          <w:sz w:val="22"/>
          <w:szCs w:val="22"/>
        </w:rPr>
        <w:t xml:space="preserve"> the release of MAGNET® 4.3.1. </w:t>
      </w:r>
      <w:r w:rsidR="00827142" w:rsidRPr="0064068F">
        <w:rPr>
          <w:rFonts w:ascii="Arial" w:hAnsi="Arial" w:cs="Arial"/>
          <w:sz w:val="22"/>
          <w:szCs w:val="22"/>
        </w:rPr>
        <w:t>The MAGNET Enterprise Data Manager is designed to allow operators to directly access Bentley ProjectWise data with MAGNET Field, MAGNET Office or MAGNET Enterprise applications.</w:t>
      </w:r>
      <w:bookmarkStart w:id="0" w:name="_GoBack"/>
      <w:bookmarkEnd w:id="0"/>
    </w:p>
    <w:p w14:paraId="0BAA2E99" w14:textId="77777777" w:rsidR="00827142" w:rsidRPr="0064068F" w:rsidRDefault="00827142" w:rsidP="00827142">
      <w:pPr>
        <w:rPr>
          <w:rFonts w:ascii="Arial" w:hAnsi="Arial" w:cs="Arial"/>
          <w:sz w:val="22"/>
          <w:szCs w:val="22"/>
        </w:rPr>
      </w:pPr>
    </w:p>
    <w:p w14:paraId="1ACA5C61" w14:textId="42F2E6BF" w:rsidR="00827142" w:rsidRPr="0064068F" w:rsidRDefault="00827142" w:rsidP="00827142">
      <w:pPr>
        <w:rPr>
          <w:rFonts w:ascii="Arial" w:hAnsi="Arial" w:cs="Arial"/>
          <w:bCs/>
          <w:sz w:val="22"/>
          <w:szCs w:val="22"/>
        </w:rPr>
      </w:pPr>
      <w:r w:rsidRPr="0064068F">
        <w:rPr>
          <w:rFonts w:ascii="Arial" w:hAnsi="Arial" w:cs="Arial"/>
          <w:sz w:val="22"/>
          <w:szCs w:val="22"/>
        </w:rPr>
        <w:t xml:space="preserve">“The updates are part of our commitment to working with third-party software applications, such as the Bentley offering, to provide </w:t>
      </w:r>
      <w:r w:rsidRPr="0064068F">
        <w:rPr>
          <w:rFonts w:ascii="Arial" w:hAnsi="Arial" w:cs="Arial"/>
          <w:bCs/>
          <w:sz w:val="22"/>
          <w:szCs w:val="22"/>
        </w:rPr>
        <w:t>efficient data exchange and a seamless workflow environment,” said Jason Hallett, Topcon vice presiden</w:t>
      </w:r>
      <w:r w:rsidR="004B7B79" w:rsidRPr="0064068F">
        <w:rPr>
          <w:rFonts w:ascii="Arial" w:hAnsi="Arial" w:cs="Arial"/>
          <w:bCs/>
          <w:sz w:val="22"/>
          <w:szCs w:val="22"/>
        </w:rPr>
        <w:t xml:space="preserve">t of global product management. </w:t>
      </w:r>
      <w:r w:rsidRPr="0064068F">
        <w:rPr>
          <w:rFonts w:ascii="Arial" w:hAnsi="Arial" w:cs="Arial"/>
          <w:bCs/>
          <w:sz w:val="22"/>
          <w:szCs w:val="22"/>
        </w:rPr>
        <w:t xml:space="preserve">“When connected to MAGNET Enterprise from MAGNET Field, you can directly upload and download data from ProjectWise, allowing surveyors or machine control model-builders upload or download </w:t>
      </w:r>
      <w:proofErr w:type="spellStart"/>
      <w:r w:rsidRPr="0064068F">
        <w:rPr>
          <w:rFonts w:ascii="Arial" w:hAnsi="Arial" w:cs="Arial"/>
          <w:bCs/>
          <w:sz w:val="22"/>
          <w:szCs w:val="22"/>
        </w:rPr>
        <w:t>iModels</w:t>
      </w:r>
      <w:proofErr w:type="spellEnd"/>
      <w:r w:rsidRPr="0064068F">
        <w:rPr>
          <w:rFonts w:ascii="Arial" w:hAnsi="Arial" w:cs="Arial"/>
          <w:bCs/>
          <w:sz w:val="22"/>
          <w:szCs w:val="22"/>
        </w:rPr>
        <w:t xml:space="preserve"> or other project file types.” </w:t>
      </w:r>
    </w:p>
    <w:p w14:paraId="6046C2F0" w14:textId="77777777" w:rsidR="00827142" w:rsidRPr="0064068F" w:rsidRDefault="00827142" w:rsidP="00827142">
      <w:pPr>
        <w:rPr>
          <w:rFonts w:ascii="Arial" w:hAnsi="Arial" w:cs="Arial"/>
          <w:bCs/>
          <w:sz w:val="22"/>
          <w:szCs w:val="22"/>
        </w:rPr>
      </w:pPr>
    </w:p>
    <w:p w14:paraId="15B158E4" w14:textId="77777777" w:rsidR="00827142" w:rsidRPr="0064068F" w:rsidRDefault="00827142" w:rsidP="00827142">
      <w:pPr>
        <w:rPr>
          <w:rFonts w:ascii="Arial" w:hAnsi="Arial" w:cs="Arial"/>
          <w:bCs/>
          <w:sz w:val="22"/>
          <w:szCs w:val="22"/>
        </w:rPr>
      </w:pPr>
      <w:r w:rsidRPr="0064068F">
        <w:rPr>
          <w:rFonts w:ascii="Arial" w:hAnsi="Arial" w:cs="Arial"/>
          <w:bCs/>
          <w:sz w:val="22"/>
          <w:szCs w:val="22"/>
        </w:rPr>
        <w:t>The integration is designed to simplify data transfer from design to field, with the unique ability to read and import only the data users need for their projects.</w:t>
      </w:r>
    </w:p>
    <w:p w14:paraId="4FABE54A" w14:textId="77777777" w:rsidR="00827142" w:rsidRPr="0064068F" w:rsidRDefault="00827142" w:rsidP="00827142">
      <w:pPr>
        <w:rPr>
          <w:rFonts w:ascii="Arial" w:hAnsi="Arial" w:cs="Arial"/>
          <w:sz w:val="22"/>
          <w:szCs w:val="22"/>
        </w:rPr>
      </w:pPr>
    </w:p>
    <w:p w14:paraId="10882625" w14:textId="77777777" w:rsidR="00827142" w:rsidRPr="0064068F" w:rsidRDefault="00827142" w:rsidP="00827142">
      <w:pPr>
        <w:rPr>
          <w:rFonts w:ascii="Arial" w:hAnsi="Arial" w:cs="Arial"/>
          <w:bCs/>
          <w:sz w:val="22"/>
          <w:szCs w:val="22"/>
        </w:rPr>
      </w:pPr>
      <w:r w:rsidRPr="0064068F">
        <w:rPr>
          <w:rFonts w:ascii="Arial" w:hAnsi="Arial" w:cs="Arial"/>
          <w:bCs/>
          <w:sz w:val="22"/>
          <w:szCs w:val="22"/>
        </w:rPr>
        <w:t>“It builds upon our industry-first ability to offer ‘</w:t>
      </w:r>
      <w:proofErr w:type="gramStart"/>
      <w:r w:rsidRPr="0064068F">
        <w:rPr>
          <w:rFonts w:ascii="Arial" w:hAnsi="Arial" w:cs="Arial"/>
          <w:bCs/>
          <w:sz w:val="22"/>
          <w:szCs w:val="22"/>
        </w:rPr>
        <w:t>round</w:t>
      </w:r>
      <w:proofErr w:type="gramEnd"/>
      <w:r w:rsidRPr="0064068F">
        <w:rPr>
          <w:rFonts w:ascii="Arial" w:hAnsi="Arial" w:cs="Arial"/>
          <w:bCs/>
          <w:sz w:val="22"/>
          <w:szCs w:val="22"/>
        </w:rPr>
        <w:t xml:space="preserve"> trip’ </w:t>
      </w:r>
      <w:proofErr w:type="spellStart"/>
      <w:r w:rsidRPr="0064068F">
        <w:rPr>
          <w:rFonts w:ascii="Arial" w:hAnsi="Arial" w:cs="Arial"/>
          <w:bCs/>
          <w:sz w:val="22"/>
          <w:szCs w:val="22"/>
        </w:rPr>
        <w:t>iModels</w:t>
      </w:r>
      <w:proofErr w:type="spellEnd"/>
      <w:r w:rsidRPr="0064068F">
        <w:rPr>
          <w:rFonts w:ascii="Arial" w:hAnsi="Arial" w:cs="Arial"/>
          <w:bCs/>
          <w:sz w:val="22"/>
          <w:szCs w:val="22"/>
        </w:rPr>
        <w:t xml:space="preserve"> — sending them directly to field operators who can use and update them directly on the jobs site, and then send the updated </w:t>
      </w:r>
      <w:proofErr w:type="spellStart"/>
      <w:r w:rsidRPr="0064068F">
        <w:rPr>
          <w:rFonts w:ascii="Arial" w:hAnsi="Arial" w:cs="Arial"/>
          <w:bCs/>
          <w:sz w:val="22"/>
          <w:szCs w:val="22"/>
        </w:rPr>
        <w:t>iModels</w:t>
      </w:r>
      <w:proofErr w:type="spellEnd"/>
      <w:r w:rsidRPr="0064068F">
        <w:rPr>
          <w:rFonts w:ascii="Arial" w:hAnsi="Arial" w:cs="Arial"/>
          <w:bCs/>
          <w:sz w:val="22"/>
          <w:szCs w:val="22"/>
        </w:rPr>
        <w:t xml:space="preserve"> from the field back to Bentley ProjectWise,” said Hallett. </w:t>
      </w:r>
    </w:p>
    <w:p w14:paraId="522C203F" w14:textId="77777777" w:rsidR="00827142" w:rsidRPr="0064068F" w:rsidRDefault="00827142" w:rsidP="00827142">
      <w:pPr>
        <w:rPr>
          <w:rFonts w:ascii="Arial" w:hAnsi="Arial" w:cs="Arial"/>
          <w:sz w:val="22"/>
          <w:szCs w:val="22"/>
        </w:rPr>
      </w:pPr>
    </w:p>
    <w:p w14:paraId="01DE03AE" w14:textId="77777777" w:rsidR="00827142" w:rsidRPr="00FD1C0E" w:rsidRDefault="00827142" w:rsidP="00827142">
      <w:pPr>
        <w:rPr>
          <w:rFonts w:ascii="Arial" w:hAnsi="Arial" w:cs="Arial"/>
          <w:szCs w:val="20"/>
        </w:rPr>
      </w:pPr>
      <w:r w:rsidRPr="0064068F">
        <w:rPr>
          <w:rFonts w:ascii="Arial" w:hAnsi="Arial" w:cs="Arial"/>
          <w:sz w:val="22"/>
          <w:szCs w:val="22"/>
        </w:rPr>
        <w:t xml:space="preserve">For more information, visit </w:t>
      </w:r>
      <w:hyperlink r:id="rId9" w:history="1">
        <w:r w:rsidRPr="0064068F">
          <w:rPr>
            <w:rStyle w:val="Hyperlink"/>
            <w:rFonts w:ascii="Arial" w:hAnsi="Arial" w:cs="Arial"/>
            <w:sz w:val="22"/>
            <w:szCs w:val="22"/>
          </w:rPr>
          <w:t>topconpositioning.com</w:t>
        </w:r>
      </w:hyperlink>
      <w:r w:rsidRPr="00FD1C0E">
        <w:rPr>
          <w:rFonts w:ascii="Arial" w:hAnsi="Arial" w:cs="Arial"/>
          <w:szCs w:val="20"/>
        </w:rPr>
        <w:t>.</w:t>
      </w:r>
    </w:p>
    <w:p w14:paraId="3D3FE82D" w14:textId="77777777" w:rsidR="00827142" w:rsidRPr="00827142" w:rsidRDefault="00827142" w:rsidP="00827142">
      <w:pPr>
        <w:rPr>
          <w:rFonts w:ascii="Arial" w:hAnsi="Arial" w:cs="Arial"/>
          <w:bCs/>
          <w:sz w:val="22"/>
          <w:szCs w:val="20"/>
          <w:lang w:val="en-AU"/>
        </w:rPr>
      </w:pPr>
    </w:p>
    <w:p w14:paraId="50781AD0" w14:textId="5FA1F259" w:rsidR="002A070C" w:rsidRPr="00827142" w:rsidRDefault="002A070C" w:rsidP="00827142">
      <w:pPr>
        <w:rPr>
          <w:rFonts w:ascii="Arial" w:hAnsi="Arial" w:cs="Arial"/>
          <w:sz w:val="20"/>
          <w:szCs w:val="20"/>
        </w:rPr>
      </w:pPr>
    </w:p>
    <w:p w14:paraId="121307C5" w14:textId="1E30D979" w:rsidR="001269F8" w:rsidRPr="00084569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084569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About Topcon Positioning Group </w:t>
      </w:r>
      <w:r w:rsidRPr="00084569">
        <w:rPr>
          <w:rFonts w:ascii="Arial" w:hAnsi="Arial" w:cs="Arial"/>
          <w:b/>
          <w:color w:val="808080" w:themeColor="background1" w:themeShade="80"/>
          <w:sz w:val="16"/>
          <w:szCs w:val="13"/>
        </w:rPr>
        <w:br/>
      </w:r>
      <w:r w:rsidR="002A070C" w:rsidRPr="00084569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is headquartered in Livermore, California, U.S. (</w:t>
      </w:r>
      <w:hyperlink r:id="rId10" w:history="1">
        <w:r w:rsidR="002A070C" w:rsidRPr="00084569">
          <w:rPr>
            <w:rStyle w:val="Hyperlink"/>
            <w:rFonts w:ascii="Arial" w:hAnsi="Arial" w:cs="Arial"/>
            <w:sz w:val="16"/>
            <w:szCs w:val="13"/>
          </w:rPr>
          <w:t>topconpositioning.com</w:t>
        </w:r>
      </w:hyperlink>
      <w:r w:rsidR="002A070C" w:rsidRPr="00084569">
        <w:rPr>
          <w:rFonts w:ascii="Arial" w:hAnsi="Arial" w:cs="Arial"/>
          <w:color w:val="808080" w:themeColor="background1" w:themeShade="80"/>
          <w:sz w:val="16"/>
          <w:szCs w:val="13"/>
        </w:rPr>
        <w:t xml:space="preserve">). Its European head office is in </w:t>
      </w:r>
      <w:proofErr w:type="spellStart"/>
      <w:r w:rsidR="002A070C" w:rsidRPr="00084569">
        <w:rPr>
          <w:rFonts w:ascii="Arial" w:hAnsi="Arial" w:cs="Arial"/>
          <w:color w:val="808080" w:themeColor="background1" w:themeShade="80"/>
          <w:sz w:val="16"/>
          <w:szCs w:val="13"/>
        </w:rPr>
        <w:t>Capel</w:t>
      </w:r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>le</w:t>
      </w:r>
      <w:proofErr w:type="spellEnd"/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>a/d</w:t>
      </w:r>
      <w:proofErr w:type="spellEnd"/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 xml:space="preserve"> </w:t>
      </w:r>
      <w:proofErr w:type="spellStart"/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>IJssel</w:t>
      </w:r>
      <w:proofErr w:type="spellEnd"/>
      <w:r w:rsidR="00995B68" w:rsidRPr="00084569">
        <w:rPr>
          <w:rFonts w:ascii="Arial" w:hAnsi="Arial" w:cs="Arial"/>
          <w:color w:val="808080" w:themeColor="background1" w:themeShade="80"/>
          <w:sz w:val="16"/>
          <w:szCs w:val="13"/>
        </w:rPr>
        <w:t xml:space="preserve">, the Netherlands. </w:t>
      </w:r>
      <w:r w:rsidR="002A070C" w:rsidRPr="00084569">
        <w:rPr>
          <w:rFonts w:ascii="Arial" w:hAnsi="Arial" w:cs="Arial"/>
          <w:color w:val="808080" w:themeColor="background1" w:themeShade="80"/>
          <w:sz w:val="16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(topcon.com), founded in 1932, is traded on the Tokyo Stock Exchange (7732). </w:t>
      </w:r>
    </w:p>
    <w:p w14:paraId="5F3E2453" w14:textId="77777777" w:rsidR="00790F45" w:rsidRPr="00084569" w:rsidRDefault="00790F45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</w:p>
    <w:p w14:paraId="1763804F" w14:textId="032DA21C" w:rsidR="00790F45" w:rsidRPr="00084569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3"/>
        </w:rPr>
      </w:pPr>
      <w:r w:rsidRPr="00084569">
        <w:rPr>
          <w:rFonts w:ascii="Arial" w:hAnsi="Arial" w:cs="Arial"/>
          <w:color w:val="808080" w:themeColor="background1" w:themeShade="80"/>
          <w:sz w:val="16"/>
          <w:szCs w:val="13"/>
        </w:rPr>
        <w:t># # #</w:t>
      </w:r>
    </w:p>
    <w:p w14:paraId="56D02AFB" w14:textId="77777777" w:rsidR="00F61E29" w:rsidRPr="00084569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3"/>
        </w:rPr>
      </w:pPr>
      <w:r w:rsidRPr="00084569">
        <w:rPr>
          <w:rFonts w:ascii="Arial" w:hAnsi="Arial" w:cs="Arial"/>
          <w:b/>
          <w:color w:val="808080" w:themeColor="background1" w:themeShade="80"/>
          <w:sz w:val="16"/>
          <w:szCs w:val="13"/>
        </w:rPr>
        <w:t xml:space="preserve">Press Contact: </w:t>
      </w:r>
    </w:p>
    <w:p w14:paraId="0B0DC8C3" w14:textId="77777777" w:rsidR="00F61E29" w:rsidRPr="0008456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084569">
        <w:rPr>
          <w:rFonts w:ascii="Arial" w:hAnsi="Arial" w:cs="Arial"/>
          <w:bCs/>
          <w:color w:val="808080" w:themeColor="background1" w:themeShade="80"/>
          <w:sz w:val="16"/>
          <w:szCs w:val="13"/>
        </w:rPr>
        <w:t>Topcon Positioning Group</w:t>
      </w:r>
    </w:p>
    <w:p w14:paraId="2ADB91B2" w14:textId="77777777" w:rsidR="00F61E29" w:rsidRPr="00084569" w:rsidRDefault="00C81562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it-IT"/>
        </w:rPr>
      </w:pPr>
      <w:hyperlink r:id="rId11" w:history="1">
        <w:r w:rsidR="00F61E29" w:rsidRPr="00084569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3"/>
            <w:lang w:val="it-IT"/>
          </w:rPr>
          <w:t>CorpComm@topcon.com</w:t>
        </w:r>
      </w:hyperlink>
    </w:p>
    <w:p w14:paraId="7B2E7C08" w14:textId="3A1311D9" w:rsidR="00BA6826" w:rsidRPr="0008456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 w:rsidRPr="00084569">
        <w:rPr>
          <w:rFonts w:ascii="Arial" w:hAnsi="Arial" w:cs="Arial"/>
          <w:bCs/>
          <w:color w:val="808080" w:themeColor="background1" w:themeShade="80"/>
          <w:sz w:val="16"/>
          <w:szCs w:val="13"/>
        </w:rPr>
        <w:t xml:space="preserve">Staci Fitzgerald, +1 925-245-8610 </w:t>
      </w:r>
      <w:r w:rsidRPr="00084569">
        <w:rPr>
          <w:rFonts w:ascii="Arial" w:hAnsi="Arial" w:cs="Arial"/>
          <w:bCs/>
          <w:color w:val="808080" w:themeColor="background1" w:themeShade="80"/>
          <w:sz w:val="16"/>
          <w:szCs w:val="13"/>
        </w:rPr>
        <w:br/>
      </w:r>
    </w:p>
    <w:sectPr w:rsidR="00BA6826" w:rsidRPr="00084569" w:rsidSect="0065235A">
      <w:headerReference w:type="first" r:id="rId12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FD54D" w14:textId="77777777" w:rsidR="00C81562" w:rsidRDefault="00C81562">
      <w:r>
        <w:separator/>
      </w:r>
    </w:p>
  </w:endnote>
  <w:endnote w:type="continuationSeparator" w:id="0">
    <w:p w14:paraId="2097B1B3" w14:textId="77777777" w:rsidR="00C81562" w:rsidRDefault="00C8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67CCA" w14:textId="77777777" w:rsidR="00C81562" w:rsidRDefault="00C81562">
      <w:r>
        <w:separator/>
      </w:r>
    </w:p>
  </w:footnote>
  <w:footnote w:type="continuationSeparator" w:id="0">
    <w:p w14:paraId="0B54E474" w14:textId="77777777" w:rsidR="00C81562" w:rsidRDefault="00C815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4569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77523"/>
    <w:rsid w:val="001855FB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1627"/>
    <w:rsid w:val="00265C21"/>
    <w:rsid w:val="00267859"/>
    <w:rsid w:val="002751AA"/>
    <w:rsid w:val="0027691C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6648"/>
    <w:rsid w:val="003F134C"/>
    <w:rsid w:val="003F5E34"/>
    <w:rsid w:val="00412292"/>
    <w:rsid w:val="00413E95"/>
    <w:rsid w:val="00416269"/>
    <w:rsid w:val="0043387D"/>
    <w:rsid w:val="00433A38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068F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E05C2"/>
    <w:rsid w:val="006E2F31"/>
    <w:rsid w:val="0071332E"/>
    <w:rsid w:val="007530F6"/>
    <w:rsid w:val="00756005"/>
    <w:rsid w:val="007605FA"/>
    <w:rsid w:val="00765F8C"/>
    <w:rsid w:val="00773A4C"/>
    <w:rsid w:val="0078639E"/>
    <w:rsid w:val="00790F45"/>
    <w:rsid w:val="007B0EFE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D37"/>
    <w:rsid w:val="008802C4"/>
    <w:rsid w:val="00891FF7"/>
    <w:rsid w:val="008962D4"/>
    <w:rsid w:val="008D0202"/>
    <w:rsid w:val="008F54A3"/>
    <w:rsid w:val="0091145E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C09BA"/>
    <w:rsid w:val="00AE6481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F1DD5"/>
    <w:rsid w:val="00BF37F1"/>
    <w:rsid w:val="00C01690"/>
    <w:rsid w:val="00C03ADA"/>
    <w:rsid w:val="00C233D8"/>
    <w:rsid w:val="00C23A3B"/>
    <w:rsid w:val="00C24DBF"/>
    <w:rsid w:val="00C31391"/>
    <w:rsid w:val="00C33DB6"/>
    <w:rsid w:val="00C638D1"/>
    <w:rsid w:val="00C71809"/>
    <w:rsid w:val="00C7597C"/>
    <w:rsid w:val="00C81562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5765"/>
    <w:rsid w:val="00F463E2"/>
    <w:rsid w:val="00F55F20"/>
    <w:rsid w:val="00F6101F"/>
    <w:rsid w:val="00F61E29"/>
    <w:rsid w:val="00F62C6C"/>
    <w:rsid w:val="00F757D3"/>
    <w:rsid w:val="00F81B4F"/>
    <w:rsid w:val="00F82679"/>
    <w:rsid w:val="00F86B3B"/>
    <w:rsid w:val="00F94B69"/>
    <w:rsid w:val="00F94E58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rpComm@topcon.com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s://www.topconpositioning.com/" TargetMode="External"/><Relationship Id="rId10" Type="http://schemas.openxmlformats.org/officeDocument/2006/relationships/hyperlink" Target="https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7C230D-D01D-C145-8E8F-3C5327B5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</Words>
  <Characters>1963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2303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10</cp:revision>
  <cp:lastPrinted>2015-08-13T12:52:00Z</cp:lastPrinted>
  <dcterms:created xsi:type="dcterms:W3CDTF">2017-09-28T16:46:00Z</dcterms:created>
  <dcterms:modified xsi:type="dcterms:W3CDTF">2017-10-09T15:46:00Z</dcterms:modified>
  <cp:category/>
</cp:coreProperties>
</file>