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73E3785D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299D0CA3" w14:textId="77777777" w:rsidR="00476966" w:rsidRPr="00476966" w:rsidRDefault="00476966" w:rsidP="00015CB4">
      <w:pPr>
        <w:jc w:val="center"/>
        <w:rPr>
          <w:rFonts w:ascii="Arial" w:hAnsi="Arial" w:cs="Arial"/>
          <w:b/>
          <w:color w:val="007AC2"/>
          <w:sz w:val="13"/>
        </w:rPr>
      </w:pPr>
    </w:p>
    <w:p w14:paraId="7143EB1F" w14:textId="3AB3B565" w:rsidR="00015CB4" w:rsidRDefault="006A095A" w:rsidP="00015CB4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436C26E9" wp14:editId="784EF25A">
            <wp:extent cx="877824" cy="1700784"/>
            <wp:effectExtent l="0" t="0" r="1143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M-100_3_4_Left_Display_w_Sight_Thum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1700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007AC2"/>
          <w:sz w:val="36"/>
        </w:rPr>
        <w:t xml:space="preserve">   </w:t>
      </w: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029D0DB6" wp14:editId="18D83D48">
            <wp:extent cx="1088844" cy="1633266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M-100_Field-14 cop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098" cy="1650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17189" w14:textId="77777777" w:rsidR="00015CB4" w:rsidRPr="00015CB4" w:rsidRDefault="00015CB4" w:rsidP="00015CB4">
      <w:pPr>
        <w:jc w:val="center"/>
        <w:rPr>
          <w:rFonts w:ascii="Arial" w:hAnsi="Arial" w:cs="Arial"/>
          <w:b/>
          <w:color w:val="007AC2"/>
          <w:sz w:val="36"/>
        </w:rPr>
      </w:pPr>
      <w:r w:rsidRPr="00015CB4">
        <w:rPr>
          <w:rFonts w:ascii="Arial" w:hAnsi="Arial" w:cs="Arial"/>
          <w:b/>
          <w:color w:val="007AC2"/>
          <w:sz w:val="36"/>
        </w:rPr>
        <w:t>Topcon announces new manual total station with advanced performance and accuracy</w:t>
      </w:r>
    </w:p>
    <w:p w14:paraId="1BC9B62D" w14:textId="77777777" w:rsidR="00F96246" w:rsidRPr="003919D7" w:rsidRDefault="00F96246" w:rsidP="00F96246">
      <w:pPr>
        <w:jc w:val="center"/>
        <w:rPr>
          <w:rFonts w:ascii="Arial" w:hAnsi="Arial" w:cs="Arial"/>
          <w:b/>
          <w:color w:val="007AC2"/>
          <w:sz w:val="18"/>
        </w:rPr>
      </w:pPr>
    </w:p>
    <w:p w14:paraId="18F9EED1" w14:textId="75D7487B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i/>
          <w:sz w:val="22"/>
          <w:szCs w:val="20"/>
        </w:rPr>
        <w:t>LIVERMORE, Calif., U.S./ CAPELLE A/</w:t>
      </w:r>
      <w:r w:rsidR="0019363F">
        <w:rPr>
          <w:rFonts w:ascii="Arial" w:hAnsi="Arial" w:cs="Arial"/>
          <w:i/>
          <w:sz w:val="22"/>
          <w:szCs w:val="20"/>
        </w:rPr>
        <w:t>D IJSSEL, the Netherlands – January 23, 2018</w:t>
      </w:r>
      <w:r w:rsidRPr="003919D7">
        <w:rPr>
          <w:rFonts w:ascii="Arial" w:hAnsi="Arial" w:cs="Arial"/>
          <w:i/>
          <w:sz w:val="22"/>
          <w:szCs w:val="20"/>
        </w:rPr>
        <w:t xml:space="preserve"> – </w:t>
      </w:r>
      <w:r w:rsidRPr="003919D7">
        <w:rPr>
          <w:rFonts w:ascii="Arial" w:hAnsi="Arial" w:cs="Arial"/>
          <w:sz w:val="22"/>
          <w:szCs w:val="20"/>
        </w:rPr>
        <w:t xml:space="preserve">Topcon Positioning Group announces the new </w:t>
      </w:r>
      <w:hyperlink r:id="rId10" w:history="1">
        <w:r w:rsidRPr="003919D7">
          <w:rPr>
            <w:rStyle w:val="Hyperlink"/>
            <w:rFonts w:ascii="Arial" w:hAnsi="Arial" w:cs="Arial"/>
            <w:sz w:val="22"/>
            <w:szCs w:val="20"/>
          </w:rPr>
          <w:t>GM-100</w:t>
        </w:r>
      </w:hyperlink>
      <w:r w:rsidRPr="003919D7">
        <w:rPr>
          <w:rFonts w:ascii="Arial" w:hAnsi="Arial" w:cs="Arial"/>
          <w:sz w:val="22"/>
          <w:szCs w:val="20"/>
        </w:rPr>
        <w:t xml:space="preserve"> total station designed to provide a powerful EDM along with advanced integrated communications technology in a manual package.</w:t>
      </w:r>
    </w:p>
    <w:p w14:paraId="474B9746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sz w:val="22"/>
          <w:szCs w:val="20"/>
        </w:rPr>
        <w:t xml:space="preserve"> </w:t>
      </w:r>
    </w:p>
    <w:p w14:paraId="39F73FFB" w14:textId="08830674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sz w:val="22"/>
          <w:szCs w:val="20"/>
        </w:rPr>
        <w:t>“It delivers the latest technological advantages in a small, sleek design,” said Ray Kerwin, director of global surveying products. “Whether operators are performing task</w:t>
      </w:r>
      <w:r w:rsidR="00C8247F">
        <w:rPr>
          <w:rFonts w:ascii="Arial" w:hAnsi="Arial" w:cs="Arial"/>
          <w:sz w:val="22"/>
          <w:szCs w:val="20"/>
        </w:rPr>
        <w:t>s</w:t>
      </w:r>
      <w:bookmarkStart w:id="0" w:name="_GoBack"/>
      <w:bookmarkEnd w:id="0"/>
      <w:r w:rsidRPr="003919D7">
        <w:rPr>
          <w:rFonts w:ascii="Arial" w:hAnsi="Arial" w:cs="Arial"/>
          <w:sz w:val="22"/>
          <w:szCs w:val="20"/>
        </w:rPr>
        <w:t xml:space="preserve"> such as site layout or as-built survey, the instrument delivers high-end performance with a best-in-class accuracy of up to 6000 m and 1.5 mm + 2 ppm with a prism and up to 1000 m and 2 mm + 2 ppm in reflectorless mode.”</w:t>
      </w:r>
    </w:p>
    <w:p w14:paraId="5D5E5B12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</w:p>
    <w:p w14:paraId="07D8A80B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sz w:val="22"/>
          <w:szCs w:val="20"/>
        </w:rPr>
        <w:t>The GM-100 features dual-axis compensation designed to ensure stable measurements even on rough terrain by automatically correcting both horizontal and vertical angles.</w:t>
      </w:r>
    </w:p>
    <w:p w14:paraId="1DB3740E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</w:p>
    <w:p w14:paraId="0878108F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sz w:val="22"/>
          <w:szCs w:val="20"/>
        </w:rPr>
        <w:t>The instrument offers integrated Bluetooth® technology with no external antenna necessary for connectivity with the controller.</w:t>
      </w:r>
    </w:p>
    <w:p w14:paraId="011FFEC4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</w:p>
    <w:p w14:paraId="437D5D40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sz w:val="22"/>
          <w:szCs w:val="20"/>
        </w:rPr>
        <w:t>Additional features include 50,000 points of internal memory and up to 32GB USB storage, as well as up to 28 hours of battery life and IP66 certification. </w:t>
      </w:r>
    </w:p>
    <w:p w14:paraId="3B6F34FF" w14:textId="77777777" w:rsidR="00015CB4" w:rsidRPr="003919D7" w:rsidRDefault="00015CB4" w:rsidP="00015CB4">
      <w:pPr>
        <w:rPr>
          <w:rFonts w:ascii="Arial" w:hAnsi="Arial" w:cs="Arial"/>
          <w:sz w:val="22"/>
          <w:szCs w:val="20"/>
        </w:rPr>
      </w:pPr>
    </w:p>
    <w:p w14:paraId="3450EA49" w14:textId="77777777" w:rsidR="00015CB4" w:rsidRDefault="00015CB4" w:rsidP="00015CB4">
      <w:pPr>
        <w:rPr>
          <w:rFonts w:ascii="Arial" w:hAnsi="Arial" w:cs="Arial"/>
          <w:sz w:val="22"/>
          <w:szCs w:val="20"/>
        </w:rPr>
      </w:pPr>
      <w:r w:rsidRPr="003919D7">
        <w:rPr>
          <w:rFonts w:ascii="Arial" w:hAnsi="Arial" w:cs="Arial"/>
          <w:sz w:val="22"/>
          <w:szCs w:val="20"/>
        </w:rPr>
        <w:t xml:space="preserve">For more information, visit </w:t>
      </w:r>
      <w:hyperlink r:id="rId11" w:history="1">
        <w:r w:rsidRPr="003919D7">
          <w:rPr>
            <w:rStyle w:val="Hyperlink"/>
            <w:rFonts w:ascii="Arial" w:hAnsi="Arial" w:cs="Arial"/>
            <w:sz w:val="22"/>
            <w:szCs w:val="20"/>
          </w:rPr>
          <w:t>topconpositioning.com</w:t>
        </w:r>
      </w:hyperlink>
      <w:r w:rsidRPr="003919D7">
        <w:rPr>
          <w:rFonts w:ascii="Arial" w:hAnsi="Arial" w:cs="Arial"/>
          <w:sz w:val="22"/>
          <w:szCs w:val="20"/>
        </w:rPr>
        <w:t xml:space="preserve">.  </w:t>
      </w:r>
    </w:p>
    <w:p w14:paraId="0E525EE5" w14:textId="77777777" w:rsidR="003919D7" w:rsidRPr="00476966" w:rsidRDefault="003919D7" w:rsidP="00015CB4">
      <w:pPr>
        <w:rPr>
          <w:rFonts w:ascii="Arial" w:hAnsi="Arial" w:cs="Arial"/>
          <w:b/>
          <w:sz w:val="18"/>
          <w:szCs w:val="18"/>
        </w:rPr>
      </w:pPr>
    </w:p>
    <w:p w14:paraId="50781AD0" w14:textId="5FA1F259" w:rsidR="002A070C" w:rsidRPr="00BE666D" w:rsidRDefault="002A070C" w:rsidP="00827142">
      <w:pPr>
        <w:rPr>
          <w:rFonts w:ascii="Arial" w:hAnsi="Arial" w:cs="Arial"/>
          <w:sz w:val="10"/>
          <w:szCs w:val="20"/>
        </w:rPr>
      </w:pPr>
    </w:p>
    <w:p w14:paraId="0FEB1474" w14:textId="18DC284D" w:rsidR="00BE666D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3919D7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3919D7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3919D7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3919D7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3919D7">
        <w:rPr>
          <w:rFonts w:ascii="Arial" w:hAnsi="Arial" w:cs="Arial"/>
          <w:color w:val="808080" w:themeColor="background1" w:themeShade="80"/>
          <w:sz w:val="18"/>
          <w:szCs w:val="13"/>
        </w:rPr>
        <w:t>). Its European head office is in Capel</w:t>
      </w:r>
      <w:r w:rsidR="00995B68" w:rsidRPr="003919D7">
        <w:rPr>
          <w:rFonts w:ascii="Arial" w:hAnsi="Arial" w:cs="Arial"/>
          <w:color w:val="808080" w:themeColor="background1" w:themeShade="80"/>
          <w:sz w:val="18"/>
          <w:szCs w:val="13"/>
        </w:rPr>
        <w:t xml:space="preserve">le a/d IJssel, the Netherlands. </w:t>
      </w:r>
      <w:r w:rsidR="002A070C" w:rsidRPr="003919D7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3919D7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3919D7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 w:rsidRPr="003919D7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90F1FCE" w14:textId="77777777" w:rsidR="003919D7" w:rsidRPr="00476966" w:rsidRDefault="003919D7" w:rsidP="00F61E29">
      <w:pPr>
        <w:rPr>
          <w:rFonts w:ascii="Arial" w:hAnsi="Arial" w:cs="Arial"/>
          <w:color w:val="808080" w:themeColor="background1" w:themeShade="80"/>
          <w:sz w:val="6"/>
          <w:szCs w:val="10"/>
        </w:rPr>
      </w:pPr>
    </w:p>
    <w:p w14:paraId="4AADD657" w14:textId="5102BE1B" w:rsidR="00BE666D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3919D7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2443E68C" w14:textId="77777777" w:rsidR="003919D7" w:rsidRPr="003919D7" w:rsidRDefault="003919D7" w:rsidP="00F61E29">
      <w:pPr>
        <w:jc w:val="center"/>
        <w:rPr>
          <w:rFonts w:ascii="Arial" w:hAnsi="Arial" w:cs="Arial"/>
          <w:color w:val="808080" w:themeColor="background1" w:themeShade="80"/>
          <w:sz w:val="6"/>
          <w:szCs w:val="13"/>
        </w:rPr>
      </w:pPr>
    </w:p>
    <w:p w14:paraId="56D02AFB" w14:textId="77777777" w:rsidR="00F61E29" w:rsidRPr="003919D7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3919D7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3919D7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3919D7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3919D7" w:rsidRDefault="005B740E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3919D7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22244F9C" w14:textId="5D02855F" w:rsidR="00BE666D" w:rsidRPr="00015CB4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3919D7">
        <w:rPr>
          <w:rFonts w:ascii="Arial" w:hAnsi="Arial" w:cs="Arial"/>
          <w:bCs/>
          <w:color w:val="808080" w:themeColor="background1" w:themeShade="80"/>
          <w:sz w:val="20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sectPr w:rsidR="00BE666D" w:rsidRPr="00015CB4" w:rsidSect="0065235A">
      <w:headerReference w:type="first" r:id="rId15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C6E0B" w14:textId="77777777" w:rsidR="005B740E" w:rsidRDefault="005B740E">
      <w:r>
        <w:separator/>
      </w:r>
    </w:p>
  </w:endnote>
  <w:endnote w:type="continuationSeparator" w:id="0">
    <w:p w14:paraId="1DA1F39B" w14:textId="77777777" w:rsidR="005B740E" w:rsidRDefault="005B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2B4" w14:textId="77777777" w:rsidR="005B740E" w:rsidRDefault="005B740E">
      <w:r>
        <w:separator/>
      </w:r>
    </w:p>
  </w:footnote>
  <w:footnote w:type="continuationSeparator" w:id="0">
    <w:p w14:paraId="4AC0987F" w14:textId="77777777" w:rsidR="005B740E" w:rsidRDefault="005B74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embedSystemFonts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15CB4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269F8"/>
    <w:rsid w:val="00130BEA"/>
    <w:rsid w:val="001531BE"/>
    <w:rsid w:val="00163F32"/>
    <w:rsid w:val="00177523"/>
    <w:rsid w:val="001855FB"/>
    <w:rsid w:val="0019363F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19D7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12292"/>
    <w:rsid w:val="00413E95"/>
    <w:rsid w:val="00416269"/>
    <w:rsid w:val="0043387D"/>
    <w:rsid w:val="00433A38"/>
    <w:rsid w:val="00445A13"/>
    <w:rsid w:val="0046547D"/>
    <w:rsid w:val="00471166"/>
    <w:rsid w:val="00476966"/>
    <w:rsid w:val="00482A23"/>
    <w:rsid w:val="00486106"/>
    <w:rsid w:val="004B1448"/>
    <w:rsid w:val="004B7B79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B740E"/>
    <w:rsid w:val="005C44F8"/>
    <w:rsid w:val="005C48E8"/>
    <w:rsid w:val="005C7305"/>
    <w:rsid w:val="005D2919"/>
    <w:rsid w:val="005D3AC3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A095A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7290B"/>
    <w:rsid w:val="008802C4"/>
    <w:rsid w:val="00882DC6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A02F1"/>
    <w:rsid w:val="009C3261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C09BA"/>
    <w:rsid w:val="00AE6481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8247F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3FE3"/>
    <w:rsid w:val="00D979CB"/>
    <w:rsid w:val="00DA66FE"/>
    <w:rsid w:val="00DC60A0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hyperlink" Target="https://www.topconpositioning.com/total-station-solutions/standard-total-stations/gm-100-seri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70F75B-4ACF-0C4F-BC86-1593631A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1882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2208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8</cp:revision>
  <cp:lastPrinted>2015-08-13T12:52:00Z</cp:lastPrinted>
  <dcterms:created xsi:type="dcterms:W3CDTF">2018-01-12T19:45:00Z</dcterms:created>
  <dcterms:modified xsi:type="dcterms:W3CDTF">2018-01-23T20:02:00Z</dcterms:modified>
  <cp:category/>
</cp:coreProperties>
</file>