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D41E472"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r w:rsidR="007B0EFE">
        <w:rPr>
          <w:rFonts w:ascii="Arial" w:hAnsi="Arial"/>
          <w:noProof/>
          <w:color w:val="808080" w:themeColor="background1" w:themeShade="80"/>
          <w:sz w:val="16"/>
          <w:szCs w:val="18"/>
        </w:rPr>
        <w:drawing>
          <wp:inline distT="0" distB="0" distL="0" distR="0" wp14:anchorId="537A0D1E" wp14:editId="4276A918">
            <wp:extent cx="1534224" cy="1516131"/>
            <wp:effectExtent l="0" t="0" r="0" b="8255"/>
            <wp:docPr id="4" name="Picture 4" descr="/Users/lauren/Desktop/Screen Shot 2017-09-20 at 3.47.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lauren/Desktop/Screen Shot 2017-09-20 at 3.47.41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6840" cy="1528598"/>
                    </a:xfrm>
                    <a:prstGeom prst="rect">
                      <a:avLst/>
                    </a:prstGeom>
                    <a:noFill/>
                    <a:ln>
                      <a:noFill/>
                    </a:ln>
                  </pic:spPr>
                </pic:pic>
              </a:graphicData>
            </a:graphic>
          </wp:inline>
        </w:drawing>
      </w:r>
    </w:p>
    <w:p w14:paraId="474C625E" w14:textId="77777777" w:rsidR="00612FA3" w:rsidRDefault="00612FA3" w:rsidP="00527B70">
      <w:pPr>
        <w:jc w:val="center"/>
        <w:rPr>
          <w:rFonts w:ascii="Arial" w:hAnsi="Arial"/>
          <w:color w:val="808080" w:themeColor="background1" w:themeShade="80"/>
          <w:sz w:val="16"/>
          <w:szCs w:val="18"/>
        </w:rPr>
      </w:pPr>
    </w:p>
    <w:p w14:paraId="4FC63D61" w14:textId="77777777" w:rsidR="00527B70" w:rsidRPr="00527B70" w:rsidRDefault="00527B70" w:rsidP="00527B70">
      <w:pPr>
        <w:jc w:val="center"/>
        <w:rPr>
          <w:rFonts w:ascii="Arial" w:hAnsi="Arial"/>
          <w:color w:val="808080" w:themeColor="background1" w:themeShade="80"/>
          <w:sz w:val="6"/>
          <w:szCs w:val="18"/>
        </w:rPr>
      </w:pPr>
    </w:p>
    <w:p w14:paraId="4D96F8B0" w14:textId="3F1FF2D2" w:rsidR="00612FA3" w:rsidRPr="007B0EFE" w:rsidRDefault="00EE1C16" w:rsidP="00612FA3">
      <w:pPr>
        <w:tabs>
          <w:tab w:val="left" w:pos="270"/>
        </w:tabs>
        <w:spacing w:line="360" w:lineRule="auto"/>
        <w:jc w:val="center"/>
        <w:rPr>
          <w:rFonts w:ascii="Arial" w:hAnsi="Arial" w:cs="Arial"/>
          <w:b/>
          <w:color w:val="007AC2"/>
          <w:sz w:val="36"/>
        </w:rPr>
      </w:pPr>
      <w:r w:rsidRPr="007B0EFE">
        <w:rPr>
          <w:rFonts w:ascii="Arial" w:hAnsi="Arial" w:cs="Arial"/>
          <w:b/>
          <w:color w:val="007AC2"/>
          <w:sz w:val="36"/>
        </w:rPr>
        <w:t xml:space="preserve">Topcon announces new advanced features in </w:t>
      </w:r>
      <w:r w:rsidRPr="007B0EFE">
        <w:rPr>
          <w:rFonts w:ascii="Arial" w:hAnsi="Arial" w:cs="Arial"/>
          <w:b/>
          <w:color w:val="007AC2"/>
          <w:sz w:val="36"/>
        </w:rPr>
        <w:br/>
        <w:t>deformation monitoring system</w:t>
      </w:r>
    </w:p>
    <w:p w14:paraId="4BE72C40" w14:textId="40E86255" w:rsidR="00130BEA" w:rsidRPr="00EE1C16" w:rsidRDefault="00612FA3" w:rsidP="00130BEA">
      <w:pPr>
        <w:rPr>
          <w:rFonts w:ascii="Arial" w:hAnsi="Arial" w:cs="Arial"/>
          <w:sz w:val="21"/>
          <w:szCs w:val="20"/>
        </w:rPr>
      </w:pPr>
      <w:bookmarkStart w:id="0" w:name="_GoBack"/>
      <w:bookmarkEnd w:id="0"/>
      <w:r w:rsidRPr="00EE1C16">
        <w:rPr>
          <w:rFonts w:ascii="Arial" w:hAnsi="Arial" w:cs="Arial"/>
          <w:i/>
          <w:sz w:val="21"/>
          <w:szCs w:val="20"/>
        </w:rPr>
        <w:t>LIVERMORE, Calif., U.S./ CAPELLE A/D IJSSEL</w:t>
      </w:r>
      <w:r w:rsidR="00995B68">
        <w:rPr>
          <w:rFonts w:ascii="Arial" w:hAnsi="Arial" w:cs="Arial"/>
          <w:i/>
          <w:sz w:val="21"/>
          <w:szCs w:val="20"/>
        </w:rPr>
        <w:t>, the Netherlands – September 26</w:t>
      </w:r>
      <w:r w:rsidR="002A070C" w:rsidRPr="00EE1C16">
        <w:rPr>
          <w:rFonts w:ascii="Arial" w:hAnsi="Arial" w:cs="Arial"/>
          <w:i/>
          <w:sz w:val="21"/>
          <w:szCs w:val="20"/>
        </w:rPr>
        <w:t xml:space="preserve">, 2017 – </w:t>
      </w:r>
      <w:r w:rsidR="00130BEA" w:rsidRPr="00EE1C16">
        <w:rPr>
          <w:rFonts w:ascii="Arial" w:hAnsi="Arial" w:cs="Arial"/>
          <w:sz w:val="21"/>
          <w:szCs w:val="20"/>
        </w:rPr>
        <w:t xml:space="preserve">Topcon Positioning Group announces updates to its </w:t>
      </w:r>
      <w:hyperlink r:id="rId9" w:history="1">
        <w:r w:rsidR="00130BEA" w:rsidRPr="00EE1C16">
          <w:rPr>
            <w:rStyle w:val="Hyperlink"/>
            <w:rFonts w:ascii="Arial" w:hAnsi="Arial" w:cs="Arial"/>
            <w:sz w:val="21"/>
            <w:szCs w:val="20"/>
          </w:rPr>
          <w:t>Delta Solutions</w:t>
        </w:r>
      </w:hyperlink>
      <w:r w:rsidR="00130BEA" w:rsidRPr="00EE1C16">
        <w:rPr>
          <w:rFonts w:ascii="Arial" w:hAnsi="Arial" w:cs="Arial"/>
          <w:sz w:val="21"/>
          <w:szCs w:val="20"/>
        </w:rPr>
        <w:t xml:space="preserve"> deformation monitoring system including software management improvements and advanced modular configurations.</w:t>
      </w:r>
    </w:p>
    <w:p w14:paraId="7E996046" w14:textId="77777777" w:rsidR="00130BEA" w:rsidRPr="00EE1C16" w:rsidRDefault="00130BEA" w:rsidP="00130BEA">
      <w:pPr>
        <w:rPr>
          <w:rFonts w:ascii="Arial" w:hAnsi="Arial" w:cs="Arial"/>
          <w:sz w:val="21"/>
          <w:szCs w:val="20"/>
        </w:rPr>
      </w:pPr>
    </w:p>
    <w:p w14:paraId="5D0F5324" w14:textId="77777777" w:rsidR="00130BEA" w:rsidRPr="00EE1C16" w:rsidRDefault="00130BEA" w:rsidP="00130BEA">
      <w:pPr>
        <w:rPr>
          <w:rFonts w:ascii="Arial" w:hAnsi="Arial" w:cs="Arial"/>
          <w:sz w:val="21"/>
          <w:szCs w:val="20"/>
        </w:rPr>
      </w:pPr>
      <w:r w:rsidRPr="00EE1C16">
        <w:rPr>
          <w:rFonts w:ascii="Arial" w:hAnsi="Arial" w:cs="Arial"/>
          <w:sz w:val="21"/>
          <w:szCs w:val="20"/>
        </w:rPr>
        <w:t xml:space="preserve">“Since the launch of Delta Solutions at </w:t>
      </w:r>
      <w:proofErr w:type="spellStart"/>
      <w:r w:rsidRPr="00EE1C16">
        <w:rPr>
          <w:rFonts w:ascii="Arial" w:hAnsi="Arial" w:cs="Arial"/>
          <w:sz w:val="21"/>
          <w:szCs w:val="20"/>
        </w:rPr>
        <w:t>Intergeo</w:t>
      </w:r>
      <w:proofErr w:type="spellEnd"/>
      <w:r w:rsidRPr="00EE1C16">
        <w:rPr>
          <w:rFonts w:ascii="Arial" w:hAnsi="Arial" w:cs="Arial"/>
          <w:sz w:val="21"/>
          <w:szCs w:val="20"/>
        </w:rPr>
        <w:t xml:space="preserve"> 2016, we have seen many systems installed and successfully operated across Europe and North America,” said Ian </w:t>
      </w:r>
      <w:proofErr w:type="spellStart"/>
      <w:r w:rsidRPr="00EE1C16">
        <w:rPr>
          <w:rFonts w:ascii="Arial" w:hAnsi="Arial" w:cs="Arial"/>
          <w:sz w:val="21"/>
          <w:szCs w:val="20"/>
        </w:rPr>
        <w:t>Stilgoe</w:t>
      </w:r>
      <w:proofErr w:type="spellEnd"/>
      <w:r w:rsidRPr="00EE1C16">
        <w:rPr>
          <w:rFonts w:ascii="Arial" w:hAnsi="Arial" w:cs="Arial"/>
          <w:sz w:val="21"/>
          <w:szCs w:val="20"/>
        </w:rPr>
        <w:t xml:space="preserve">, vice president Europe </w:t>
      </w:r>
      <w:proofErr w:type="spellStart"/>
      <w:r w:rsidRPr="00EE1C16">
        <w:rPr>
          <w:rFonts w:ascii="Arial" w:hAnsi="Arial" w:cs="Arial"/>
          <w:sz w:val="21"/>
          <w:szCs w:val="20"/>
        </w:rPr>
        <w:t>GeoPositioning</w:t>
      </w:r>
      <w:proofErr w:type="spellEnd"/>
      <w:r w:rsidRPr="00EE1C16">
        <w:rPr>
          <w:rFonts w:ascii="Arial" w:hAnsi="Arial" w:cs="Arial"/>
          <w:sz w:val="21"/>
          <w:szCs w:val="20"/>
        </w:rPr>
        <w:t xml:space="preserve"> Solutions for Topcon Positioning Group. “Now, to build on that success we are implementing new features for a more comprehensive package that facilitates ease of use.” </w:t>
      </w:r>
    </w:p>
    <w:p w14:paraId="2FF573B5" w14:textId="77777777" w:rsidR="00130BEA" w:rsidRPr="00EE1C16" w:rsidRDefault="00130BEA" w:rsidP="00130BEA">
      <w:pPr>
        <w:rPr>
          <w:rFonts w:ascii="Arial" w:hAnsi="Arial" w:cs="Arial"/>
          <w:sz w:val="21"/>
          <w:szCs w:val="20"/>
        </w:rPr>
      </w:pPr>
    </w:p>
    <w:p w14:paraId="0DB12D45" w14:textId="48058994" w:rsidR="00130BEA" w:rsidRPr="00EE1C16" w:rsidRDefault="00130BEA" w:rsidP="00130BEA">
      <w:pPr>
        <w:rPr>
          <w:rFonts w:ascii="Arial" w:hAnsi="Arial" w:cs="Arial"/>
          <w:sz w:val="21"/>
          <w:szCs w:val="20"/>
        </w:rPr>
      </w:pPr>
      <w:r w:rsidRPr="00EE1C16">
        <w:rPr>
          <w:rFonts w:ascii="Arial" w:hAnsi="Arial" w:cs="Arial"/>
          <w:sz w:val="21"/>
          <w:szCs w:val="20"/>
        </w:rPr>
        <w:t xml:space="preserve">Delta Watch features new configuration choices employing either robotic total stations or GNSS with the ability to add leveling sensors. “An additional module is available to enable all three sensor types to be combined into a single deformation monitoring system. Whatever the Topcon sensor combination, these can be computed within one combined network adjustment solution,” said </w:t>
      </w:r>
      <w:proofErr w:type="spellStart"/>
      <w:r w:rsidRPr="00EE1C16">
        <w:rPr>
          <w:rFonts w:ascii="Arial" w:hAnsi="Arial" w:cs="Arial"/>
          <w:sz w:val="21"/>
          <w:szCs w:val="20"/>
        </w:rPr>
        <w:t>Stilgoe</w:t>
      </w:r>
      <w:proofErr w:type="spellEnd"/>
      <w:r w:rsidRPr="00EE1C16">
        <w:rPr>
          <w:rFonts w:ascii="Arial" w:hAnsi="Arial" w:cs="Arial"/>
          <w:sz w:val="21"/>
          <w:szCs w:val="20"/>
        </w:rPr>
        <w:t>.</w:t>
      </w:r>
    </w:p>
    <w:p w14:paraId="022BBC53" w14:textId="77777777" w:rsidR="00130BEA" w:rsidRPr="00EE1C16" w:rsidRDefault="00130BEA" w:rsidP="00130BEA">
      <w:pPr>
        <w:rPr>
          <w:rFonts w:ascii="Arial" w:hAnsi="Arial" w:cs="Arial"/>
          <w:sz w:val="21"/>
          <w:szCs w:val="20"/>
        </w:rPr>
      </w:pPr>
    </w:p>
    <w:p w14:paraId="62E4643D" w14:textId="77777777" w:rsidR="00130BEA" w:rsidRPr="00EE1C16" w:rsidRDefault="00130BEA" w:rsidP="00130BEA">
      <w:pPr>
        <w:rPr>
          <w:rFonts w:ascii="Arial" w:hAnsi="Arial" w:cs="Arial"/>
          <w:sz w:val="21"/>
          <w:szCs w:val="20"/>
        </w:rPr>
      </w:pPr>
      <w:r w:rsidRPr="00EE1C16">
        <w:rPr>
          <w:rFonts w:ascii="Arial" w:hAnsi="Arial" w:cs="Arial"/>
          <w:sz w:val="21"/>
          <w:szCs w:val="20"/>
        </w:rPr>
        <w:t xml:space="preserve">The system now also includes a new optional rail monitoring module. </w:t>
      </w:r>
      <w:proofErr w:type="spellStart"/>
      <w:r w:rsidRPr="00EE1C16">
        <w:rPr>
          <w:rFonts w:ascii="Arial" w:hAnsi="Arial" w:cs="Arial"/>
          <w:sz w:val="21"/>
          <w:szCs w:val="20"/>
        </w:rPr>
        <w:t>Stilgoe</w:t>
      </w:r>
      <w:proofErr w:type="spellEnd"/>
      <w:r w:rsidRPr="00EE1C16">
        <w:rPr>
          <w:rFonts w:ascii="Arial" w:hAnsi="Arial" w:cs="Arial"/>
          <w:sz w:val="21"/>
          <w:szCs w:val="20"/>
        </w:rPr>
        <w:t xml:space="preserve"> said, “This new feature is designed specifically for rail deformation monitoring activities to provide the creation of virtual sensors such as </w:t>
      </w:r>
      <w:proofErr w:type="gramStart"/>
      <w:r w:rsidRPr="00EE1C16">
        <w:rPr>
          <w:rFonts w:ascii="Arial" w:hAnsi="Arial" w:cs="Arial"/>
          <w:sz w:val="21"/>
          <w:szCs w:val="20"/>
        </w:rPr>
        <w:t>cant</w:t>
      </w:r>
      <w:proofErr w:type="gramEnd"/>
      <w:r w:rsidRPr="00EE1C16">
        <w:rPr>
          <w:rFonts w:ascii="Arial" w:hAnsi="Arial" w:cs="Arial"/>
          <w:sz w:val="21"/>
          <w:szCs w:val="20"/>
        </w:rPr>
        <w:t xml:space="preserve"> and twist measurement or track alignment and displacement.”</w:t>
      </w:r>
    </w:p>
    <w:p w14:paraId="6EE658D1" w14:textId="77777777" w:rsidR="00130BEA" w:rsidRPr="00EE1C16" w:rsidRDefault="00130BEA" w:rsidP="00130BEA">
      <w:pPr>
        <w:rPr>
          <w:rFonts w:ascii="Arial" w:hAnsi="Arial" w:cs="Arial"/>
          <w:sz w:val="21"/>
          <w:szCs w:val="20"/>
        </w:rPr>
      </w:pPr>
    </w:p>
    <w:p w14:paraId="15EA46E9" w14:textId="77777777" w:rsidR="00130BEA" w:rsidRPr="00EE1C16" w:rsidRDefault="00130BEA" w:rsidP="00130BEA">
      <w:pPr>
        <w:rPr>
          <w:rFonts w:ascii="Arial" w:hAnsi="Arial" w:cs="Arial"/>
          <w:sz w:val="21"/>
          <w:szCs w:val="20"/>
        </w:rPr>
      </w:pPr>
      <w:r w:rsidRPr="00EE1C16">
        <w:rPr>
          <w:rFonts w:ascii="Arial" w:hAnsi="Arial" w:cs="Arial"/>
          <w:sz w:val="21"/>
          <w:szCs w:val="20"/>
        </w:rPr>
        <w:t>Delta Watch also features a new monitoring system diagnostics module designed to allow operators to check the performance and health of the internal monitoring system hardware for operational troubleshooting and the planning of any maintenance requirements.</w:t>
      </w:r>
    </w:p>
    <w:p w14:paraId="57AF0B38" w14:textId="77777777" w:rsidR="00130BEA" w:rsidRPr="00EE1C16" w:rsidRDefault="00130BEA" w:rsidP="00130BEA">
      <w:pPr>
        <w:rPr>
          <w:rFonts w:ascii="Arial" w:hAnsi="Arial" w:cs="Arial"/>
          <w:sz w:val="21"/>
          <w:szCs w:val="20"/>
        </w:rPr>
      </w:pPr>
    </w:p>
    <w:p w14:paraId="714E547C" w14:textId="77777777" w:rsidR="00130BEA" w:rsidRPr="00EE1C16" w:rsidRDefault="00130BEA" w:rsidP="00130BEA">
      <w:pPr>
        <w:rPr>
          <w:rFonts w:ascii="Arial" w:hAnsi="Arial" w:cs="Arial"/>
          <w:sz w:val="21"/>
          <w:szCs w:val="20"/>
        </w:rPr>
      </w:pPr>
      <w:r w:rsidRPr="00EE1C16">
        <w:rPr>
          <w:rFonts w:ascii="Arial" w:hAnsi="Arial" w:cs="Arial"/>
          <w:sz w:val="21"/>
          <w:szCs w:val="20"/>
        </w:rPr>
        <w:t>Operators now also have a choice of using either metric or U.S. survey units as the default values in the software.</w:t>
      </w:r>
    </w:p>
    <w:p w14:paraId="650BFD86" w14:textId="77777777" w:rsidR="00130BEA" w:rsidRPr="00EE1C16" w:rsidRDefault="00130BEA" w:rsidP="00130BEA">
      <w:pPr>
        <w:rPr>
          <w:rFonts w:ascii="Arial" w:hAnsi="Arial" w:cs="Arial"/>
          <w:sz w:val="21"/>
          <w:szCs w:val="20"/>
        </w:rPr>
      </w:pPr>
    </w:p>
    <w:p w14:paraId="1809EDDA" w14:textId="77777777" w:rsidR="00130BEA" w:rsidRPr="00EE1C16" w:rsidRDefault="00130BEA" w:rsidP="00130BEA">
      <w:pPr>
        <w:rPr>
          <w:rFonts w:ascii="Arial" w:hAnsi="Arial" w:cs="Arial"/>
          <w:sz w:val="21"/>
          <w:szCs w:val="20"/>
        </w:rPr>
      </w:pPr>
      <w:r w:rsidRPr="00EE1C16">
        <w:rPr>
          <w:rFonts w:ascii="Arial" w:hAnsi="Arial" w:cs="Arial"/>
          <w:sz w:val="21"/>
          <w:szCs w:val="20"/>
        </w:rPr>
        <w:t xml:space="preserve">For more information, visit </w:t>
      </w:r>
      <w:hyperlink r:id="rId10" w:history="1">
        <w:r w:rsidRPr="00EE1C16">
          <w:rPr>
            <w:rStyle w:val="Hyperlink"/>
            <w:rFonts w:ascii="Arial" w:hAnsi="Arial" w:cs="Arial"/>
            <w:sz w:val="21"/>
            <w:szCs w:val="20"/>
          </w:rPr>
          <w:t>topconpositioni</w:t>
        </w:r>
        <w:r w:rsidRPr="00EE1C16">
          <w:rPr>
            <w:rStyle w:val="Hyperlink"/>
            <w:rFonts w:ascii="Arial" w:hAnsi="Arial" w:cs="Arial"/>
            <w:sz w:val="21"/>
            <w:szCs w:val="20"/>
          </w:rPr>
          <w:t>n</w:t>
        </w:r>
        <w:r w:rsidRPr="00EE1C16">
          <w:rPr>
            <w:rStyle w:val="Hyperlink"/>
            <w:rFonts w:ascii="Arial" w:hAnsi="Arial" w:cs="Arial"/>
            <w:sz w:val="21"/>
            <w:szCs w:val="20"/>
          </w:rPr>
          <w:t>g.com</w:t>
        </w:r>
      </w:hyperlink>
      <w:r w:rsidRPr="00EE1C16">
        <w:rPr>
          <w:rFonts w:ascii="Arial" w:hAnsi="Arial" w:cs="Arial"/>
          <w:sz w:val="21"/>
          <w:szCs w:val="20"/>
        </w:rPr>
        <w:t>.</w:t>
      </w:r>
    </w:p>
    <w:p w14:paraId="50781AD0" w14:textId="2F36299D" w:rsidR="002A070C" w:rsidRPr="00EE1C16" w:rsidRDefault="002A070C" w:rsidP="00130BEA">
      <w:pPr>
        <w:rPr>
          <w:rFonts w:ascii="Arial" w:hAnsi="Arial" w:cs="Arial"/>
          <w:sz w:val="18"/>
          <w:szCs w:val="20"/>
        </w:rPr>
      </w:pPr>
    </w:p>
    <w:p w14:paraId="121307C5" w14:textId="0CF5A51B" w:rsidR="001269F8" w:rsidRPr="00EE1C16" w:rsidRDefault="00F61E29" w:rsidP="00F61E29">
      <w:pPr>
        <w:rPr>
          <w:rFonts w:ascii="Arial" w:hAnsi="Arial" w:cs="Arial"/>
          <w:color w:val="808080" w:themeColor="background1" w:themeShade="80"/>
          <w:sz w:val="15"/>
          <w:szCs w:val="13"/>
        </w:rPr>
      </w:pPr>
      <w:r w:rsidRPr="00EE1C16">
        <w:rPr>
          <w:rFonts w:ascii="Arial" w:hAnsi="Arial" w:cs="Arial"/>
          <w:b/>
          <w:color w:val="808080" w:themeColor="background1" w:themeShade="80"/>
          <w:sz w:val="15"/>
          <w:szCs w:val="13"/>
        </w:rPr>
        <w:t xml:space="preserve">About Topcon Positioning Group </w:t>
      </w:r>
      <w:r w:rsidRPr="00EE1C16">
        <w:rPr>
          <w:rFonts w:ascii="Arial" w:hAnsi="Arial" w:cs="Arial"/>
          <w:b/>
          <w:color w:val="808080" w:themeColor="background1" w:themeShade="80"/>
          <w:sz w:val="15"/>
          <w:szCs w:val="13"/>
        </w:rPr>
        <w:br/>
      </w:r>
      <w:r w:rsidR="002A070C" w:rsidRPr="00EE1C16">
        <w:rPr>
          <w:rFonts w:ascii="Arial" w:hAnsi="Arial" w:cs="Arial"/>
          <w:color w:val="808080" w:themeColor="background1" w:themeShade="80"/>
          <w:sz w:val="15"/>
          <w:szCs w:val="13"/>
        </w:rPr>
        <w:t xml:space="preserve">Topcon Positioning Group is headquartered in Livermore, California, U.S. (topconpositioning.com). Its European head office is in </w:t>
      </w:r>
      <w:proofErr w:type="spellStart"/>
      <w:r w:rsidR="002A070C" w:rsidRPr="00EE1C16">
        <w:rPr>
          <w:rFonts w:ascii="Arial" w:hAnsi="Arial" w:cs="Arial"/>
          <w:color w:val="808080" w:themeColor="background1" w:themeShade="80"/>
          <w:sz w:val="15"/>
          <w:szCs w:val="13"/>
        </w:rPr>
        <w:t>Capel</w:t>
      </w:r>
      <w:r w:rsidR="00995B68">
        <w:rPr>
          <w:rFonts w:ascii="Arial" w:hAnsi="Arial" w:cs="Arial"/>
          <w:color w:val="808080" w:themeColor="background1" w:themeShade="80"/>
          <w:sz w:val="15"/>
          <w:szCs w:val="13"/>
        </w:rPr>
        <w:t>le</w:t>
      </w:r>
      <w:proofErr w:type="spellEnd"/>
      <w:r w:rsidR="00995B68">
        <w:rPr>
          <w:rFonts w:ascii="Arial" w:hAnsi="Arial" w:cs="Arial"/>
          <w:color w:val="808080" w:themeColor="background1" w:themeShade="80"/>
          <w:sz w:val="15"/>
          <w:szCs w:val="13"/>
        </w:rPr>
        <w:t xml:space="preserve"> </w:t>
      </w:r>
      <w:proofErr w:type="spellStart"/>
      <w:r w:rsidR="00995B68">
        <w:rPr>
          <w:rFonts w:ascii="Arial" w:hAnsi="Arial" w:cs="Arial"/>
          <w:color w:val="808080" w:themeColor="background1" w:themeShade="80"/>
          <w:sz w:val="15"/>
          <w:szCs w:val="13"/>
        </w:rPr>
        <w:t>a/d</w:t>
      </w:r>
      <w:proofErr w:type="spellEnd"/>
      <w:r w:rsidR="00995B68">
        <w:rPr>
          <w:rFonts w:ascii="Arial" w:hAnsi="Arial" w:cs="Arial"/>
          <w:color w:val="808080" w:themeColor="background1" w:themeShade="80"/>
          <w:sz w:val="15"/>
          <w:szCs w:val="13"/>
        </w:rPr>
        <w:t xml:space="preserve"> </w:t>
      </w:r>
      <w:proofErr w:type="spellStart"/>
      <w:r w:rsidR="00995B68">
        <w:rPr>
          <w:rFonts w:ascii="Arial" w:hAnsi="Arial" w:cs="Arial"/>
          <w:color w:val="808080" w:themeColor="background1" w:themeShade="80"/>
          <w:sz w:val="15"/>
          <w:szCs w:val="13"/>
        </w:rPr>
        <w:t>IJssel</w:t>
      </w:r>
      <w:proofErr w:type="spellEnd"/>
      <w:r w:rsidR="00995B68">
        <w:rPr>
          <w:rFonts w:ascii="Arial" w:hAnsi="Arial" w:cs="Arial"/>
          <w:color w:val="808080" w:themeColor="background1" w:themeShade="80"/>
          <w:sz w:val="15"/>
          <w:szCs w:val="13"/>
        </w:rPr>
        <w:t xml:space="preserve">, the Netherlands. </w:t>
      </w:r>
      <w:r w:rsidR="002A070C" w:rsidRPr="00EE1C16">
        <w:rPr>
          <w:rFonts w:ascii="Arial" w:hAnsi="Arial" w:cs="Arial"/>
          <w:color w:val="808080" w:themeColor="background1" w:themeShade="80"/>
          <w:sz w:val="15"/>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5F3E2453" w14:textId="77777777" w:rsidR="00790F45" w:rsidRPr="00EE1C16" w:rsidRDefault="00790F45" w:rsidP="00F61E29">
      <w:pPr>
        <w:rPr>
          <w:rFonts w:ascii="Arial" w:hAnsi="Arial" w:cs="Arial"/>
          <w:color w:val="808080" w:themeColor="background1" w:themeShade="80"/>
          <w:sz w:val="15"/>
          <w:szCs w:val="13"/>
        </w:rPr>
      </w:pPr>
    </w:p>
    <w:p w14:paraId="1763804F" w14:textId="032DA21C" w:rsidR="00790F45" w:rsidRPr="00EE1C16" w:rsidRDefault="00F61E29" w:rsidP="00F61E29">
      <w:pPr>
        <w:jc w:val="center"/>
        <w:rPr>
          <w:rFonts w:ascii="Arial" w:hAnsi="Arial" w:cs="Arial"/>
          <w:color w:val="808080" w:themeColor="background1" w:themeShade="80"/>
          <w:sz w:val="15"/>
          <w:szCs w:val="13"/>
        </w:rPr>
      </w:pPr>
      <w:r w:rsidRPr="00EE1C16">
        <w:rPr>
          <w:rFonts w:ascii="Arial" w:hAnsi="Arial" w:cs="Arial"/>
          <w:color w:val="808080" w:themeColor="background1" w:themeShade="80"/>
          <w:sz w:val="15"/>
          <w:szCs w:val="13"/>
        </w:rPr>
        <w:t># # #</w:t>
      </w:r>
    </w:p>
    <w:p w14:paraId="56D02AFB" w14:textId="77777777" w:rsidR="00F61E29" w:rsidRPr="00EE1C16" w:rsidRDefault="00F61E29" w:rsidP="00F61E29">
      <w:pPr>
        <w:outlineLvl w:val="0"/>
        <w:rPr>
          <w:rFonts w:ascii="Arial" w:hAnsi="Arial" w:cs="Arial"/>
          <w:b/>
          <w:color w:val="808080" w:themeColor="background1" w:themeShade="80"/>
          <w:sz w:val="15"/>
          <w:szCs w:val="13"/>
        </w:rPr>
      </w:pPr>
      <w:r w:rsidRPr="00EE1C16">
        <w:rPr>
          <w:rFonts w:ascii="Arial" w:hAnsi="Arial" w:cs="Arial"/>
          <w:b/>
          <w:color w:val="808080" w:themeColor="background1" w:themeShade="80"/>
          <w:sz w:val="15"/>
          <w:szCs w:val="13"/>
        </w:rPr>
        <w:t xml:space="preserve">Press Contact: </w:t>
      </w:r>
    </w:p>
    <w:p w14:paraId="0B0DC8C3" w14:textId="77777777" w:rsidR="00F61E29" w:rsidRPr="00EE1C16" w:rsidRDefault="00F61E29" w:rsidP="00F61E29">
      <w:pPr>
        <w:outlineLvl w:val="0"/>
        <w:rPr>
          <w:rFonts w:ascii="Arial" w:hAnsi="Arial" w:cs="Arial"/>
          <w:bCs/>
          <w:color w:val="808080" w:themeColor="background1" w:themeShade="80"/>
          <w:sz w:val="15"/>
          <w:szCs w:val="13"/>
        </w:rPr>
      </w:pPr>
      <w:r w:rsidRPr="00EE1C16">
        <w:rPr>
          <w:rFonts w:ascii="Arial" w:hAnsi="Arial" w:cs="Arial"/>
          <w:bCs/>
          <w:color w:val="808080" w:themeColor="background1" w:themeShade="80"/>
          <w:sz w:val="15"/>
          <w:szCs w:val="13"/>
        </w:rPr>
        <w:t>Topcon Positioning Group</w:t>
      </w:r>
    </w:p>
    <w:p w14:paraId="2ADB91B2" w14:textId="77777777" w:rsidR="00F61E29" w:rsidRPr="00EE1C16" w:rsidRDefault="0063192D" w:rsidP="00F61E29">
      <w:pPr>
        <w:outlineLvl w:val="0"/>
        <w:rPr>
          <w:rFonts w:ascii="Arial" w:hAnsi="Arial" w:cs="Arial"/>
          <w:bCs/>
          <w:color w:val="808080" w:themeColor="background1" w:themeShade="80"/>
          <w:sz w:val="15"/>
          <w:szCs w:val="13"/>
          <w:lang w:val="it-IT"/>
        </w:rPr>
      </w:pPr>
      <w:hyperlink r:id="rId11" w:history="1">
        <w:r w:rsidR="00F61E29" w:rsidRPr="00EE1C16">
          <w:rPr>
            <w:rStyle w:val="Hyperlink"/>
            <w:rFonts w:ascii="Arial" w:hAnsi="Arial" w:cs="Arial"/>
            <w:bCs/>
            <w:color w:val="808080" w:themeColor="background1" w:themeShade="80"/>
            <w:sz w:val="15"/>
            <w:szCs w:val="13"/>
            <w:lang w:val="it-IT"/>
          </w:rPr>
          <w:t>CorpComm@topcon.com</w:t>
        </w:r>
      </w:hyperlink>
    </w:p>
    <w:p w14:paraId="0C7158E4" w14:textId="5B8A1D3F" w:rsidR="00BA6826" w:rsidRPr="00EE1C16" w:rsidRDefault="00F61E29" w:rsidP="00612FA3">
      <w:pPr>
        <w:rPr>
          <w:rFonts w:ascii="Arial" w:hAnsi="Arial" w:cs="Arial"/>
          <w:bCs/>
          <w:color w:val="808080" w:themeColor="background1" w:themeShade="80"/>
          <w:sz w:val="15"/>
          <w:szCs w:val="13"/>
          <w:lang w:val="it-IT"/>
        </w:rPr>
      </w:pPr>
      <w:proofErr w:type="spellStart"/>
      <w:r w:rsidRPr="00EE1C16">
        <w:rPr>
          <w:rFonts w:ascii="Arial" w:hAnsi="Arial" w:cs="Arial"/>
          <w:bCs/>
          <w:color w:val="808080" w:themeColor="background1" w:themeShade="80"/>
          <w:sz w:val="15"/>
          <w:szCs w:val="13"/>
          <w:lang w:val="it-IT"/>
        </w:rPr>
        <w:t>Staci</w:t>
      </w:r>
      <w:proofErr w:type="spellEnd"/>
      <w:r w:rsidRPr="00EE1C16">
        <w:rPr>
          <w:rFonts w:ascii="Arial" w:hAnsi="Arial" w:cs="Arial"/>
          <w:bCs/>
          <w:color w:val="808080" w:themeColor="background1" w:themeShade="80"/>
          <w:sz w:val="15"/>
          <w:szCs w:val="13"/>
          <w:lang w:val="it-IT"/>
        </w:rPr>
        <w:t xml:space="preserve"> Fitzgerald, +1 925-245-8610</w:t>
      </w:r>
    </w:p>
    <w:p w14:paraId="7B2E7C08" w14:textId="77777777" w:rsidR="00BA6826" w:rsidRPr="00BA6826" w:rsidRDefault="00BA6826" w:rsidP="00BA6826">
      <w:pPr>
        <w:jc w:val="right"/>
        <w:outlineLvl w:val="0"/>
        <w:rPr>
          <w:rFonts w:ascii="Arial" w:hAnsi="Arial"/>
          <w:color w:val="808080" w:themeColor="background1" w:themeShade="80"/>
          <w:sz w:val="15"/>
          <w:szCs w:val="15"/>
        </w:rPr>
      </w:pPr>
    </w:p>
    <w:sectPr w:rsidR="00BA6826" w:rsidRPr="00BA6826" w:rsidSect="001269F8">
      <w:headerReference w:type="first" r:id="rId12"/>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FDFC5" w14:textId="77777777" w:rsidR="0063192D" w:rsidRDefault="0063192D">
      <w:r>
        <w:separator/>
      </w:r>
    </w:p>
  </w:endnote>
  <w:endnote w:type="continuationSeparator" w:id="0">
    <w:p w14:paraId="3919C319" w14:textId="77777777" w:rsidR="0063192D" w:rsidRDefault="0063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2C50F" w14:textId="77777777" w:rsidR="0063192D" w:rsidRDefault="0063192D">
      <w:r>
        <w:separator/>
      </w:r>
    </w:p>
  </w:footnote>
  <w:footnote w:type="continuationSeparator" w:id="0">
    <w:p w14:paraId="4E43BD1F" w14:textId="77777777" w:rsidR="0063192D" w:rsidRDefault="006319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811A7"/>
    <w:rsid w:val="00283421"/>
    <w:rsid w:val="002A070C"/>
    <w:rsid w:val="002B2158"/>
    <w:rsid w:val="002B32F1"/>
    <w:rsid w:val="002B65A9"/>
    <w:rsid w:val="002E2BC8"/>
    <w:rsid w:val="002E5E21"/>
    <w:rsid w:val="002F29C4"/>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71166"/>
    <w:rsid w:val="00482A23"/>
    <w:rsid w:val="00486106"/>
    <w:rsid w:val="004C2A52"/>
    <w:rsid w:val="004C4705"/>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3C74"/>
    <w:rsid w:val="006643CB"/>
    <w:rsid w:val="006713DD"/>
    <w:rsid w:val="006926B3"/>
    <w:rsid w:val="006A0908"/>
    <w:rsid w:val="006B2A9A"/>
    <w:rsid w:val="006C6B2E"/>
    <w:rsid w:val="006E05C2"/>
    <w:rsid w:val="006E2F31"/>
    <w:rsid w:val="0071332E"/>
    <w:rsid w:val="007530F6"/>
    <w:rsid w:val="00756005"/>
    <w:rsid w:val="007605FA"/>
    <w:rsid w:val="00765F8C"/>
    <w:rsid w:val="00773A4C"/>
    <w:rsid w:val="0078639E"/>
    <w:rsid w:val="00790F45"/>
    <w:rsid w:val="007B0EFE"/>
    <w:rsid w:val="007B3233"/>
    <w:rsid w:val="007C481B"/>
    <w:rsid w:val="007C5005"/>
    <w:rsid w:val="007D26FD"/>
    <w:rsid w:val="00810DE0"/>
    <w:rsid w:val="008141F4"/>
    <w:rsid w:val="00832E9A"/>
    <w:rsid w:val="008469A0"/>
    <w:rsid w:val="00846CEF"/>
    <w:rsid w:val="00853C9A"/>
    <w:rsid w:val="00870D37"/>
    <w:rsid w:val="008802C4"/>
    <w:rsid w:val="00891FF7"/>
    <w:rsid w:val="008962D4"/>
    <w:rsid w:val="008D0202"/>
    <w:rsid w:val="008F54A3"/>
    <w:rsid w:val="009115C1"/>
    <w:rsid w:val="009434F4"/>
    <w:rsid w:val="00953F3D"/>
    <w:rsid w:val="00956EF7"/>
    <w:rsid w:val="009666D5"/>
    <w:rsid w:val="00975493"/>
    <w:rsid w:val="009914F1"/>
    <w:rsid w:val="00995B68"/>
    <w:rsid w:val="009964DE"/>
    <w:rsid w:val="009C3261"/>
    <w:rsid w:val="00A06D66"/>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47414"/>
    <w:rsid w:val="00D55832"/>
    <w:rsid w:val="00D62FA8"/>
    <w:rsid w:val="00D6369D"/>
    <w:rsid w:val="00D647FC"/>
    <w:rsid w:val="00D6784A"/>
    <w:rsid w:val="00D70AF0"/>
    <w:rsid w:val="00D70EE2"/>
    <w:rsid w:val="00D91CF0"/>
    <w:rsid w:val="00D979CB"/>
    <w:rsid w:val="00DA66FE"/>
    <w:rsid w:val="00DC60A0"/>
    <w:rsid w:val="00E07F73"/>
    <w:rsid w:val="00E16158"/>
    <w:rsid w:val="00E32B47"/>
    <w:rsid w:val="00E74974"/>
    <w:rsid w:val="00E95EFF"/>
    <w:rsid w:val="00EB1000"/>
    <w:rsid w:val="00EC3044"/>
    <w:rsid w:val="00ED70D3"/>
    <w:rsid w:val="00EE1C16"/>
    <w:rsid w:val="00EE33D2"/>
    <w:rsid w:val="00F25765"/>
    <w:rsid w:val="00F463E2"/>
    <w:rsid w:val="00F55F20"/>
    <w:rsid w:val="00F6101F"/>
    <w:rsid w:val="00F61E29"/>
    <w:rsid w:val="00F62C6C"/>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software-solutions/monitoring-software/delta-solutions"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43725-3A73-0D4F-80C5-07832881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398</Words>
  <Characters>2274</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2667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2017-09-20T18:25:00Z</dcterms:created>
  <dcterms:modified xsi:type="dcterms:W3CDTF">2017-09-22T21:26:00Z</dcterms:modified>
  <cp:category/>
</cp:coreProperties>
</file>