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41093BC" w14:textId="4F38E837" w:rsidR="00FC36F6" w:rsidRDefault="003420E6" w:rsidP="00FC36F6">
      <w:pPr>
        <w:tabs>
          <w:tab w:val="left" w:pos="270"/>
        </w:tabs>
        <w:jc w:val="center"/>
        <w:rPr>
          <w:rFonts w:ascii="Arial" w:eastAsiaTheme="majorEastAsia" w:hAnsi="Arial" w:cstheme="majorBidi"/>
          <w:b/>
          <w:bCs/>
          <w:color w:val="0079C2"/>
          <w:sz w:val="36"/>
          <w:szCs w:val="36"/>
        </w:rPr>
      </w:pPr>
      <w:r>
        <w:rPr>
          <w:rFonts w:ascii="Arial" w:eastAsiaTheme="majorEastAsia" w:hAnsi="Arial" w:cstheme="majorBidi"/>
          <w:b/>
          <w:bCs/>
          <w:noProof/>
          <w:color w:val="0079C2"/>
          <w:sz w:val="36"/>
          <w:szCs w:val="36"/>
        </w:rPr>
        <w:drawing>
          <wp:inline distT="0" distB="0" distL="0" distR="0" wp14:anchorId="3E304370" wp14:editId="563E7551">
            <wp:extent cx="792595" cy="786118"/>
            <wp:effectExtent l="0" t="0" r="0" b="1905"/>
            <wp:docPr id="3" name="Picture 3" descr="Docs:Publicity:Active:Press Kits for Web Upload:2016:Intergeo:Topcon_Press-Kit_Delta:Delta_Link_VMT_Software_Monitor thum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ocs:Publicity:Active:Press Kits for Web Upload:2016:Intergeo:Topcon_Press-Kit_Delta:Delta_Link_VMT_Software_Monitor thumb.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93169" cy="786687"/>
                    </a:xfrm>
                    <a:prstGeom prst="rect">
                      <a:avLst/>
                    </a:prstGeom>
                    <a:noFill/>
                    <a:ln>
                      <a:noFill/>
                    </a:ln>
                  </pic:spPr>
                </pic:pic>
              </a:graphicData>
            </a:graphic>
          </wp:inline>
        </w:drawing>
      </w:r>
      <w:r>
        <w:rPr>
          <w:rFonts w:ascii="Arial" w:eastAsiaTheme="majorEastAsia" w:hAnsi="Arial" w:cstheme="majorBidi"/>
          <w:b/>
          <w:bCs/>
          <w:color w:val="0079C2"/>
          <w:sz w:val="36"/>
          <w:szCs w:val="36"/>
        </w:rPr>
        <w:t xml:space="preserve">    </w:t>
      </w:r>
      <w:r>
        <w:rPr>
          <w:rFonts w:ascii="Arial" w:eastAsiaTheme="majorEastAsia" w:hAnsi="Arial" w:cstheme="majorBidi"/>
          <w:b/>
          <w:bCs/>
          <w:noProof/>
          <w:color w:val="0079C2"/>
          <w:sz w:val="36"/>
          <w:szCs w:val="36"/>
        </w:rPr>
        <w:drawing>
          <wp:inline distT="0" distB="0" distL="0" distR="0" wp14:anchorId="00BB0557" wp14:editId="4717F5F2">
            <wp:extent cx="726762" cy="816598"/>
            <wp:effectExtent l="0" t="0" r="10160" b="0"/>
            <wp:docPr id="4" name="Picture 4" descr="Docs:Publicity:Active:Press Kits for Web Upload:2016:Intergeo:Topcon_Press-Kit_Delta:Delta_MS_AXII_overpass thum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ocs:Publicity:Active:Press Kits for Web Upload:2016:Intergeo:Topcon_Press-Kit_Delta:Delta_MS_AXII_overpass thumb.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728041" cy="818035"/>
                    </a:xfrm>
                    <a:prstGeom prst="rect">
                      <a:avLst/>
                    </a:prstGeom>
                    <a:noFill/>
                    <a:ln>
                      <a:noFill/>
                    </a:ln>
                  </pic:spPr>
                </pic:pic>
              </a:graphicData>
            </a:graphic>
          </wp:inline>
        </w:drawing>
      </w:r>
    </w:p>
    <w:p w14:paraId="55315D92" w14:textId="77777777" w:rsidR="003420E6" w:rsidRPr="004B18E8" w:rsidRDefault="003420E6" w:rsidP="00FC36F6">
      <w:pPr>
        <w:tabs>
          <w:tab w:val="left" w:pos="270"/>
        </w:tabs>
        <w:jc w:val="center"/>
        <w:rPr>
          <w:rFonts w:ascii="Arial" w:eastAsiaTheme="majorEastAsia" w:hAnsi="Arial" w:cstheme="majorBidi"/>
          <w:b/>
          <w:bCs/>
          <w:color w:val="0079C2"/>
          <w:sz w:val="10"/>
          <w:szCs w:val="36"/>
        </w:rPr>
      </w:pPr>
    </w:p>
    <w:p w14:paraId="1660EC64" w14:textId="05E8D27C" w:rsidR="00FE510B" w:rsidRPr="00FE510B" w:rsidRDefault="004D17D5" w:rsidP="004D17D5">
      <w:pPr>
        <w:tabs>
          <w:tab w:val="left" w:pos="270"/>
        </w:tabs>
        <w:jc w:val="center"/>
        <w:rPr>
          <w:rFonts w:ascii="Arial" w:eastAsiaTheme="majorEastAsia" w:hAnsi="Arial" w:cstheme="majorBidi"/>
          <w:b/>
          <w:bCs/>
          <w:color w:val="0079C2"/>
          <w:sz w:val="36"/>
          <w:szCs w:val="36"/>
        </w:rPr>
      </w:pPr>
      <w:r w:rsidRPr="004D17D5">
        <w:rPr>
          <w:rFonts w:ascii="Arial" w:eastAsiaTheme="majorEastAsia" w:hAnsi="Arial" w:cstheme="majorBidi"/>
          <w:b/>
          <w:bCs/>
          <w:color w:val="0079C2"/>
          <w:sz w:val="36"/>
          <w:szCs w:val="36"/>
        </w:rPr>
        <w:t xml:space="preserve">Topcon announces release of deformation </w:t>
      </w:r>
      <w:r>
        <w:rPr>
          <w:rFonts w:ascii="Arial" w:eastAsiaTheme="majorEastAsia" w:hAnsi="Arial" w:cstheme="majorBidi"/>
          <w:b/>
          <w:bCs/>
          <w:color w:val="0079C2"/>
          <w:sz w:val="36"/>
          <w:szCs w:val="36"/>
        </w:rPr>
        <w:br/>
      </w:r>
      <w:r w:rsidRPr="004D17D5">
        <w:rPr>
          <w:rFonts w:ascii="Arial" w:eastAsiaTheme="majorEastAsia" w:hAnsi="Arial" w:cstheme="majorBidi"/>
          <w:b/>
          <w:bCs/>
          <w:color w:val="0079C2"/>
          <w:sz w:val="36"/>
          <w:szCs w:val="36"/>
        </w:rPr>
        <w:t>monitoring solution</w:t>
      </w:r>
    </w:p>
    <w:p w14:paraId="65850205" w14:textId="77777777" w:rsidR="00C81D46" w:rsidRPr="003420E6" w:rsidRDefault="00C81D46" w:rsidP="00C81D46">
      <w:pPr>
        <w:tabs>
          <w:tab w:val="left" w:pos="270"/>
        </w:tabs>
        <w:rPr>
          <w:rFonts w:ascii="Arial" w:hAnsi="Arial"/>
          <w:i/>
          <w:color w:val="000000"/>
          <w:sz w:val="10"/>
          <w:szCs w:val="20"/>
        </w:rPr>
      </w:pPr>
    </w:p>
    <w:p w14:paraId="117F4EB8" w14:textId="3F667A6D" w:rsidR="004D17D5" w:rsidRPr="003420E6" w:rsidRDefault="004D17D5" w:rsidP="004D17D5">
      <w:pPr>
        <w:tabs>
          <w:tab w:val="left" w:pos="270"/>
        </w:tabs>
        <w:rPr>
          <w:rFonts w:ascii="Arial" w:hAnsi="Arial"/>
          <w:color w:val="000000"/>
          <w:sz w:val="20"/>
          <w:szCs w:val="22"/>
        </w:rPr>
      </w:pPr>
      <w:r w:rsidRPr="003420E6">
        <w:rPr>
          <w:rFonts w:ascii="Arial" w:hAnsi="Arial"/>
          <w:i/>
          <w:color w:val="000000"/>
          <w:sz w:val="20"/>
          <w:szCs w:val="22"/>
        </w:rPr>
        <w:t>LIVERMORE, Calif., USA/ CAPELLE A/</w:t>
      </w:r>
      <w:r w:rsidR="003420E6" w:rsidRPr="003420E6">
        <w:rPr>
          <w:rFonts w:ascii="Arial" w:hAnsi="Arial"/>
          <w:i/>
          <w:color w:val="000000"/>
          <w:sz w:val="20"/>
          <w:szCs w:val="22"/>
        </w:rPr>
        <w:t xml:space="preserve">D IJSSEL, </w:t>
      </w:r>
      <w:proofErr w:type="gramStart"/>
      <w:r w:rsidR="003420E6" w:rsidRPr="003420E6">
        <w:rPr>
          <w:rFonts w:ascii="Arial" w:hAnsi="Arial"/>
          <w:i/>
          <w:color w:val="000000"/>
          <w:sz w:val="20"/>
          <w:szCs w:val="22"/>
        </w:rPr>
        <w:t>The</w:t>
      </w:r>
      <w:proofErr w:type="gramEnd"/>
      <w:r w:rsidR="001A017D">
        <w:rPr>
          <w:rFonts w:ascii="Arial" w:hAnsi="Arial"/>
          <w:i/>
          <w:color w:val="000000"/>
          <w:sz w:val="20"/>
          <w:szCs w:val="22"/>
        </w:rPr>
        <w:t xml:space="preserve"> Netherlands – </w:t>
      </w:r>
      <w:r w:rsidR="001A017D" w:rsidRPr="00793962">
        <w:rPr>
          <w:rFonts w:ascii="Arial" w:hAnsi="Arial"/>
          <w:i/>
          <w:color w:val="000000"/>
          <w:sz w:val="20"/>
          <w:szCs w:val="22"/>
        </w:rPr>
        <w:t>October 11, 2016</w:t>
      </w:r>
      <w:r w:rsidRPr="003420E6">
        <w:rPr>
          <w:rFonts w:ascii="Arial" w:hAnsi="Arial"/>
          <w:i/>
          <w:color w:val="000000"/>
          <w:sz w:val="20"/>
          <w:szCs w:val="22"/>
        </w:rPr>
        <w:t xml:space="preserve"> – </w:t>
      </w:r>
      <w:r w:rsidRPr="003420E6">
        <w:rPr>
          <w:rFonts w:ascii="Arial" w:hAnsi="Arial"/>
          <w:color w:val="000000"/>
          <w:sz w:val="20"/>
          <w:szCs w:val="22"/>
        </w:rPr>
        <w:t xml:space="preserve">Topcon Positioning Group announces the release of </w:t>
      </w:r>
      <w:hyperlink r:id="rId11" w:history="1">
        <w:r w:rsidRPr="00A14D4F">
          <w:rPr>
            <w:rStyle w:val="Hyperlink"/>
            <w:rFonts w:ascii="Arial" w:hAnsi="Arial"/>
            <w:sz w:val="20"/>
            <w:szCs w:val="22"/>
          </w:rPr>
          <w:t>Delta Solutions</w:t>
        </w:r>
      </w:hyperlink>
      <w:r w:rsidRPr="003420E6">
        <w:rPr>
          <w:rFonts w:ascii="Arial" w:hAnsi="Arial"/>
          <w:color w:val="000000"/>
          <w:sz w:val="20"/>
          <w:szCs w:val="22"/>
        </w:rPr>
        <w:t xml:space="preserve"> </w:t>
      </w:r>
      <w:r w:rsidR="003420E6" w:rsidRPr="003420E6">
        <w:rPr>
          <w:rFonts w:ascii="Arial" w:hAnsi="Arial"/>
          <w:i/>
          <w:color w:val="000000"/>
          <w:sz w:val="20"/>
          <w:szCs w:val="22"/>
        </w:rPr>
        <w:t xml:space="preserve">– </w:t>
      </w:r>
      <w:r w:rsidRPr="003420E6">
        <w:rPr>
          <w:rFonts w:ascii="Arial" w:hAnsi="Arial"/>
          <w:color w:val="000000"/>
          <w:sz w:val="20"/>
          <w:szCs w:val="22"/>
        </w:rPr>
        <w:t>its new deformation monitoring</w:t>
      </w:r>
      <w:r w:rsidR="00C813AB">
        <w:rPr>
          <w:rFonts w:ascii="Arial" w:hAnsi="Arial"/>
          <w:color w:val="000000"/>
          <w:sz w:val="20"/>
          <w:szCs w:val="22"/>
        </w:rPr>
        <w:t xml:space="preserve"> system</w:t>
      </w:r>
      <w:r w:rsidRPr="003420E6">
        <w:rPr>
          <w:rFonts w:ascii="Arial" w:hAnsi="Arial"/>
          <w:color w:val="000000"/>
          <w:sz w:val="20"/>
          <w:szCs w:val="22"/>
        </w:rPr>
        <w:t>. Utilizing a system of software and hardware components – Delta Link, Delta Log, Delta Watch,</w:t>
      </w:r>
      <w:r w:rsidR="008A122A">
        <w:rPr>
          <w:rFonts w:ascii="Arial" w:hAnsi="Arial"/>
          <w:color w:val="000000"/>
          <w:sz w:val="20"/>
          <w:szCs w:val="22"/>
        </w:rPr>
        <w:t xml:space="preserve"> Delta Sat and the MS AX</w:t>
      </w:r>
      <w:r w:rsidRPr="003420E6">
        <w:rPr>
          <w:rFonts w:ascii="Arial" w:hAnsi="Arial"/>
          <w:color w:val="000000"/>
          <w:sz w:val="20"/>
          <w:szCs w:val="22"/>
        </w:rPr>
        <w:t xml:space="preserve">II total station </w:t>
      </w:r>
      <w:r w:rsidR="003420E6" w:rsidRPr="003420E6">
        <w:rPr>
          <w:rFonts w:ascii="Arial" w:hAnsi="Arial"/>
          <w:i/>
          <w:color w:val="000000"/>
          <w:sz w:val="20"/>
          <w:szCs w:val="22"/>
        </w:rPr>
        <w:t xml:space="preserve">– </w:t>
      </w:r>
      <w:r w:rsidRPr="003420E6">
        <w:rPr>
          <w:rFonts w:ascii="Arial" w:hAnsi="Arial"/>
          <w:color w:val="000000"/>
          <w:sz w:val="20"/>
          <w:szCs w:val="22"/>
        </w:rPr>
        <w:t>Delta Solutions is designed to provide accurate and reliable monitoring measurements and associated reporting for asset protection.</w:t>
      </w:r>
    </w:p>
    <w:p w14:paraId="5BFBA995" w14:textId="77777777" w:rsidR="004D17D5" w:rsidRPr="003420E6" w:rsidRDefault="004D17D5" w:rsidP="004D17D5">
      <w:pPr>
        <w:tabs>
          <w:tab w:val="left" w:pos="270"/>
        </w:tabs>
        <w:rPr>
          <w:rFonts w:ascii="Arial" w:hAnsi="Arial"/>
          <w:color w:val="000000"/>
          <w:sz w:val="20"/>
          <w:szCs w:val="22"/>
        </w:rPr>
      </w:pPr>
    </w:p>
    <w:p w14:paraId="60A59092" w14:textId="65EE18B2" w:rsidR="004D17D5" w:rsidRPr="003420E6" w:rsidRDefault="008A122A" w:rsidP="004D17D5">
      <w:pPr>
        <w:tabs>
          <w:tab w:val="left" w:pos="270"/>
        </w:tabs>
        <w:rPr>
          <w:rFonts w:ascii="Arial" w:hAnsi="Arial"/>
          <w:color w:val="000000"/>
          <w:sz w:val="20"/>
          <w:szCs w:val="22"/>
        </w:rPr>
      </w:pPr>
      <w:r>
        <w:rPr>
          <w:rFonts w:ascii="Arial" w:hAnsi="Arial"/>
          <w:color w:val="000000"/>
          <w:sz w:val="20"/>
          <w:szCs w:val="22"/>
        </w:rPr>
        <w:t xml:space="preserve">The system uses the Topcon </w:t>
      </w:r>
      <w:hyperlink r:id="rId12" w:history="1">
        <w:r w:rsidRPr="00A14D4F">
          <w:rPr>
            <w:rStyle w:val="Hyperlink"/>
            <w:rFonts w:ascii="Arial" w:hAnsi="Arial"/>
            <w:sz w:val="20"/>
            <w:szCs w:val="22"/>
          </w:rPr>
          <w:t>MS AX</w:t>
        </w:r>
        <w:r w:rsidR="004D17D5" w:rsidRPr="00A14D4F">
          <w:rPr>
            <w:rStyle w:val="Hyperlink"/>
            <w:rFonts w:ascii="Arial" w:hAnsi="Arial"/>
            <w:sz w:val="20"/>
            <w:szCs w:val="22"/>
          </w:rPr>
          <w:t>II</w:t>
        </w:r>
      </w:hyperlink>
      <w:r w:rsidR="004D17D5" w:rsidRPr="003420E6">
        <w:rPr>
          <w:rFonts w:ascii="Arial" w:hAnsi="Arial"/>
          <w:color w:val="000000"/>
          <w:sz w:val="20"/>
          <w:szCs w:val="22"/>
        </w:rPr>
        <w:t xml:space="preserve"> total station combined with Topcon Delta Watch software designed to monitor, manage and evaluate monitoring data as well as optionally trigger alarms. “As standalone software, Delta Watch delivers accurate and reliable data in a variety of reporting formats to best fit a project’s needs said Ian </w:t>
      </w:r>
      <w:proofErr w:type="spellStart"/>
      <w:r w:rsidR="004D17D5" w:rsidRPr="003420E6">
        <w:rPr>
          <w:rFonts w:ascii="Arial" w:hAnsi="Arial"/>
          <w:color w:val="000000"/>
          <w:sz w:val="20"/>
          <w:szCs w:val="22"/>
        </w:rPr>
        <w:t>Stilgoe</w:t>
      </w:r>
      <w:proofErr w:type="spellEnd"/>
      <w:r w:rsidR="004D17D5" w:rsidRPr="003420E6">
        <w:rPr>
          <w:rFonts w:ascii="Arial" w:hAnsi="Arial"/>
          <w:color w:val="000000"/>
          <w:sz w:val="20"/>
          <w:szCs w:val="22"/>
        </w:rPr>
        <w:t>, vice president portfolio management at Topcon Positioning Group. “Data from the total station, GNSS receivers, leveling devices and sensors can be processed and analyzed individually or as a network-adjusted solution.</w:t>
      </w:r>
    </w:p>
    <w:p w14:paraId="4AA809E7" w14:textId="77777777" w:rsidR="004D17D5" w:rsidRPr="003420E6" w:rsidRDefault="004D17D5" w:rsidP="004D17D5">
      <w:pPr>
        <w:tabs>
          <w:tab w:val="left" w:pos="270"/>
        </w:tabs>
        <w:rPr>
          <w:rFonts w:ascii="Arial" w:hAnsi="Arial"/>
          <w:color w:val="000000"/>
          <w:sz w:val="20"/>
          <w:szCs w:val="22"/>
        </w:rPr>
      </w:pPr>
    </w:p>
    <w:p w14:paraId="2B90CD18" w14:textId="77777777" w:rsidR="004D17D5" w:rsidRPr="003420E6" w:rsidRDefault="004D17D5" w:rsidP="004D17D5">
      <w:pPr>
        <w:tabs>
          <w:tab w:val="left" w:pos="270"/>
        </w:tabs>
        <w:rPr>
          <w:rFonts w:ascii="Arial" w:hAnsi="Arial"/>
          <w:color w:val="000000"/>
          <w:sz w:val="20"/>
          <w:szCs w:val="22"/>
        </w:rPr>
      </w:pPr>
      <w:r w:rsidRPr="003420E6">
        <w:rPr>
          <w:rFonts w:ascii="Arial" w:hAnsi="Arial"/>
          <w:color w:val="000000"/>
          <w:sz w:val="20"/>
          <w:szCs w:val="22"/>
        </w:rPr>
        <w:t>“Topcon Delta Link provides hardware support communication for autonomous operation in the field,” he said. “Delta Link manages each power source maximizing system availability.”</w:t>
      </w:r>
    </w:p>
    <w:p w14:paraId="6D18D3F4" w14:textId="77777777" w:rsidR="004D17D5" w:rsidRPr="003420E6" w:rsidRDefault="004D17D5" w:rsidP="004D17D5">
      <w:pPr>
        <w:tabs>
          <w:tab w:val="left" w:pos="270"/>
        </w:tabs>
        <w:rPr>
          <w:rFonts w:ascii="Arial" w:hAnsi="Arial"/>
          <w:color w:val="000000"/>
          <w:sz w:val="20"/>
          <w:szCs w:val="22"/>
        </w:rPr>
      </w:pPr>
    </w:p>
    <w:p w14:paraId="6C88275B" w14:textId="77777777" w:rsidR="004D17D5" w:rsidRPr="003420E6" w:rsidRDefault="004D17D5" w:rsidP="004D17D5">
      <w:pPr>
        <w:tabs>
          <w:tab w:val="left" w:pos="270"/>
        </w:tabs>
        <w:rPr>
          <w:rFonts w:ascii="Arial" w:hAnsi="Arial"/>
          <w:color w:val="000000"/>
          <w:sz w:val="20"/>
          <w:szCs w:val="22"/>
        </w:rPr>
      </w:pPr>
      <w:r w:rsidRPr="003420E6">
        <w:rPr>
          <w:rFonts w:ascii="Arial" w:hAnsi="Arial"/>
          <w:color w:val="000000"/>
          <w:sz w:val="20"/>
          <w:szCs w:val="22"/>
        </w:rPr>
        <w:t xml:space="preserve">Communications options include Ethernet, Wi-Fi, and a globally approved integrated cellular modem. </w:t>
      </w:r>
    </w:p>
    <w:p w14:paraId="3E5AC7AB" w14:textId="77777777" w:rsidR="004D17D5" w:rsidRPr="003420E6" w:rsidRDefault="004D17D5" w:rsidP="004D17D5">
      <w:pPr>
        <w:tabs>
          <w:tab w:val="left" w:pos="270"/>
        </w:tabs>
        <w:rPr>
          <w:rFonts w:ascii="Arial" w:hAnsi="Arial"/>
          <w:color w:val="000000"/>
          <w:sz w:val="20"/>
          <w:szCs w:val="22"/>
        </w:rPr>
      </w:pPr>
    </w:p>
    <w:p w14:paraId="3BAABD78" w14:textId="77777777" w:rsidR="004D17D5" w:rsidRPr="003420E6" w:rsidRDefault="004D17D5" w:rsidP="004D17D5">
      <w:pPr>
        <w:tabs>
          <w:tab w:val="left" w:pos="270"/>
        </w:tabs>
        <w:rPr>
          <w:rFonts w:ascii="Arial" w:hAnsi="Arial"/>
          <w:color w:val="000000"/>
          <w:sz w:val="20"/>
          <w:szCs w:val="22"/>
        </w:rPr>
      </w:pPr>
      <w:r w:rsidRPr="003420E6">
        <w:rPr>
          <w:rFonts w:ascii="Arial" w:hAnsi="Arial"/>
          <w:color w:val="000000"/>
          <w:sz w:val="20"/>
          <w:szCs w:val="22"/>
        </w:rPr>
        <w:t xml:space="preserve">Accessed via a secure web portal, Delta Log is designed to provide an intuitive interface to manage observations, target types, and measurement scheduling. “Delta Log provides a simple platform for advanced functionality — unique Topcon features such as matrix detection are instinctively controlled through the software,” said </w:t>
      </w:r>
      <w:proofErr w:type="spellStart"/>
      <w:r w:rsidRPr="003420E6">
        <w:rPr>
          <w:rFonts w:ascii="Arial" w:hAnsi="Arial"/>
          <w:color w:val="000000"/>
          <w:sz w:val="20"/>
          <w:szCs w:val="22"/>
        </w:rPr>
        <w:t>Stilgoe</w:t>
      </w:r>
      <w:proofErr w:type="spellEnd"/>
      <w:r w:rsidRPr="003420E6">
        <w:rPr>
          <w:rFonts w:ascii="Arial" w:hAnsi="Arial"/>
          <w:color w:val="000000"/>
          <w:sz w:val="20"/>
          <w:szCs w:val="22"/>
        </w:rPr>
        <w:t>.</w:t>
      </w:r>
    </w:p>
    <w:p w14:paraId="20336FF9" w14:textId="77777777" w:rsidR="004D17D5" w:rsidRPr="003420E6" w:rsidRDefault="004D17D5" w:rsidP="004D17D5">
      <w:pPr>
        <w:tabs>
          <w:tab w:val="left" w:pos="270"/>
        </w:tabs>
        <w:rPr>
          <w:rFonts w:ascii="Arial" w:hAnsi="Arial"/>
          <w:color w:val="000000"/>
          <w:sz w:val="20"/>
          <w:szCs w:val="22"/>
        </w:rPr>
      </w:pPr>
    </w:p>
    <w:p w14:paraId="705B72F4" w14:textId="77777777" w:rsidR="004D17D5" w:rsidRDefault="004D17D5" w:rsidP="004D17D5">
      <w:pPr>
        <w:tabs>
          <w:tab w:val="left" w:pos="270"/>
        </w:tabs>
        <w:rPr>
          <w:rFonts w:ascii="Arial" w:hAnsi="Arial"/>
          <w:color w:val="000000"/>
          <w:sz w:val="20"/>
          <w:szCs w:val="22"/>
        </w:rPr>
      </w:pPr>
      <w:r w:rsidRPr="003420E6">
        <w:rPr>
          <w:rFonts w:ascii="Arial" w:hAnsi="Arial"/>
          <w:color w:val="000000"/>
          <w:sz w:val="20"/>
          <w:szCs w:val="22"/>
        </w:rPr>
        <w:t>“Delta Log will continue to operate the total station should communication with the Delta Watch database fail,” he said. “Once communication has been restored, data are synchronized and the main database is updated.”</w:t>
      </w:r>
    </w:p>
    <w:p w14:paraId="0161FF2E" w14:textId="77777777" w:rsidR="00D41D9C" w:rsidRDefault="00D41D9C" w:rsidP="004D17D5">
      <w:pPr>
        <w:tabs>
          <w:tab w:val="left" w:pos="270"/>
        </w:tabs>
        <w:rPr>
          <w:rFonts w:ascii="Arial" w:hAnsi="Arial"/>
          <w:color w:val="000000"/>
          <w:sz w:val="20"/>
          <w:szCs w:val="22"/>
        </w:rPr>
      </w:pPr>
    </w:p>
    <w:p w14:paraId="278746E1" w14:textId="58E66536" w:rsidR="00D41D9C" w:rsidRPr="003420E6" w:rsidRDefault="00CD7DED" w:rsidP="004D17D5">
      <w:pPr>
        <w:tabs>
          <w:tab w:val="left" w:pos="270"/>
        </w:tabs>
        <w:rPr>
          <w:rFonts w:ascii="Arial" w:hAnsi="Arial"/>
          <w:color w:val="000000"/>
          <w:sz w:val="20"/>
          <w:szCs w:val="22"/>
        </w:rPr>
      </w:pPr>
      <w:r>
        <w:rPr>
          <w:rFonts w:ascii="Arial" w:hAnsi="Arial"/>
          <w:color w:val="000000"/>
          <w:sz w:val="20"/>
          <w:szCs w:val="22"/>
        </w:rPr>
        <w:t>Delta W</w:t>
      </w:r>
      <w:r w:rsidR="00D41D9C">
        <w:rPr>
          <w:rFonts w:ascii="Arial" w:hAnsi="Arial"/>
          <w:color w:val="000000"/>
          <w:sz w:val="20"/>
          <w:szCs w:val="22"/>
        </w:rPr>
        <w:t xml:space="preserve">atch includes the optional </w:t>
      </w:r>
      <w:r w:rsidR="00D41D9C" w:rsidRPr="00D41D9C">
        <w:rPr>
          <w:rFonts w:ascii="Arial" w:hAnsi="Arial"/>
          <w:color w:val="000000"/>
          <w:sz w:val="20"/>
          <w:szCs w:val="22"/>
        </w:rPr>
        <w:t xml:space="preserve">Delta Sat </w:t>
      </w:r>
      <w:r>
        <w:rPr>
          <w:rFonts w:ascii="Arial" w:hAnsi="Arial"/>
          <w:color w:val="000000"/>
          <w:sz w:val="20"/>
          <w:szCs w:val="22"/>
        </w:rPr>
        <w:t xml:space="preserve">GNSS processing </w:t>
      </w:r>
      <w:r w:rsidR="00D41D9C">
        <w:rPr>
          <w:rFonts w:ascii="Arial" w:hAnsi="Arial"/>
          <w:color w:val="000000"/>
          <w:sz w:val="20"/>
          <w:szCs w:val="22"/>
        </w:rPr>
        <w:t>module</w:t>
      </w:r>
      <w:r>
        <w:rPr>
          <w:rFonts w:ascii="Arial" w:hAnsi="Arial"/>
          <w:color w:val="000000"/>
          <w:sz w:val="20"/>
          <w:szCs w:val="22"/>
        </w:rPr>
        <w:t>,</w:t>
      </w:r>
      <w:r w:rsidR="00D41D9C">
        <w:rPr>
          <w:rFonts w:ascii="Arial" w:hAnsi="Arial"/>
          <w:color w:val="000000"/>
          <w:sz w:val="20"/>
          <w:szCs w:val="22"/>
        </w:rPr>
        <w:t xml:space="preserve"> </w:t>
      </w:r>
      <w:r>
        <w:rPr>
          <w:rFonts w:ascii="Arial" w:hAnsi="Arial"/>
          <w:color w:val="000000"/>
          <w:sz w:val="20"/>
          <w:szCs w:val="22"/>
        </w:rPr>
        <w:t>which</w:t>
      </w:r>
      <w:r w:rsidR="00D41D9C" w:rsidRPr="00D41D9C">
        <w:rPr>
          <w:rFonts w:ascii="Arial" w:hAnsi="Arial"/>
          <w:color w:val="000000"/>
          <w:sz w:val="20"/>
          <w:szCs w:val="22"/>
        </w:rPr>
        <w:t xml:space="preserve"> allows for stand-alone GN</w:t>
      </w:r>
      <w:r>
        <w:rPr>
          <w:rFonts w:ascii="Arial" w:hAnsi="Arial"/>
          <w:color w:val="000000"/>
          <w:sz w:val="20"/>
          <w:szCs w:val="22"/>
        </w:rPr>
        <w:t>SS monitoring or combined GNSS and total station network adjustments.</w:t>
      </w:r>
    </w:p>
    <w:p w14:paraId="7F55F020" w14:textId="77777777" w:rsidR="004D17D5" w:rsidRPr="003420E6" w:rsidRDefault="004D17D5" w:rsidP="004D17D5">
      <w:pPr>
        <w:tabs>
          <w:tab w:val="left" w:pos="270"/>
        </w:tabs>
        <w:rPr>
          <w:rFonts w:ascii="Arial" w:hAnsi="Arial"/>
          <w:color w:val="000000"/>
          <w:sz w:val="20"/>
          <w:szCs w:val="22"/>
        </w:rPr>
      </w:pPr>
    </w:p>
    <w:p w14:paraId="1EE9F4A3" w14:textId="77777777" w:rsidR="004D17D5" w:rsidRPr="003420E6" w:rsidRDefault="004D17D5" w:rsidP="004D17D5">
      <w:pPr>
        <w:tabs>
          <w:tab w:val="left" w:pos="270"/>
        </w:tabs>
        <w:rPr>
          <w:rFonts w:ascii="Arial" w:hAnsi="Arial"/>
          <w:color w:val="000000"/>
          <w:sz w:val="20"/>
          <w:szCs w:val="22"/>
        </w:rPr>
      </w:pPr>
      <w:r w:rsidRPr="003420E6">
        <w:rPr>
          <w:rFonts w:ascii="Arial" w:hAnsi="Arial"/>
          <w:color w:val="000000"/>
          <w:sz w:val="20"/>
          <w:szCs w:val="22"/>
        </w:rPr>
        <w:t>Topcon Delta Solutions are the result of a partnership formed between Topcon and deformation monitoring and tunneling specialist VMT GmbH.</w:t>
      </w:r>
    </w:p>
    <w:p w14:paraId="105AD22E" w14:textId="77777777" w:rsidR="004D17D5" w:rsidRPr="003420E6" w:rsidRDefault="004D17D5" w:rsidP="004D17D5">
      <w:pPr>
        <w:tabs>
          <w:tab w:val="left" w:pos="270"/>
        </w:tabs>
        <w:rPr>
          <w:rFonts w:ascii="Arial" w:hAnsi="Arial"/>
          <w:color w:val="000000"/>
          <w:sz w:val="20"/>
          <w:szCs w:val="22"/>
        </w:rPr>
      </w:pPr>
    </w:p>
    <w:p w14:paraId="67DA73E1" w14:textId="4FDF9B4A" w:rsidR="0054229B" w:rsidRPr="003420E6" w:rsidRDefault="004D17D5" w:rsidP="004D17D5">
      <w:pPr>
        <w:tabs>
          <w:tab w:val="left" w:pos="270"/>
        </w:tabs>
        <w:rPr>
          <w:rFonts w:ascii="Arial" w:hAnsi="Arial"/>
          <w:bCs/>
          <w:color w:val="000000"/>
          <w:sz w:val="20"/>
          <w:szCs w:val="22"/>
          <w:lang w:val="en-AU"/>
        </w:rPr>
      </w:pPr>
      <w:r w:rsidRPr="003420E6">
        <w:rPr>
          <w:rFonts w:ascii="Arial" w:hAnsi="Arial"/>
          <w:color w:val="000000"/>
          <w:sz w:val="20"/>
          <w:szCs w:val="22"/>
        </w:rPr>
        <w:t xml:space="preserve">For more information, visit </w:t>
      </w:r>
      <w:hyperlink r:id="rId13" w:history="1">
        <w:r w:rsidRPr="003420E6">
          <w:rPr>
            <w:rStyle w:val="Hyperlink"/>
            <w:rFonts w:ascii="Arial" w:hAnsi="Arial"/>
            <w:sz w:val="20"/>
            <w:szCs w:val="22"/>
          </w:rPr>
          <w:t>topconpositioning.com</w:t>
        </w:r>
      </w:hyperlink>
      <w:r w:rsidRPr="003420E6">
        <w:rPr>
          <w:rFonts w:ascii="Arial" w:hAnsi="Arial"/>
          <w:color w:val="000000"/>
          <w:sz w:val="20"/>
          <w:szCs w:val="22"/>
        </w:rPr>
        <w:t>.</w:t>
      </w:r>
    </w:p>
    <w:p w14:paraId="1D24A199" w14:textId="4C0F97AA" w:rsidR="00F86AB9" w:rsidRPr="004B18E8" w:rsidRDefault="00F86AB9" w:rsidP="0054229B">
      <w:pPr>
        <w:tabs>
          <w:tab w:val="left" w:pos="270"/>
        </w:tabs>
        <w:rPr>
          <w:rFonts w:ascii="Arial" w:hAnsi="Arial"/>
          <w:color w:val="000000"/>
          <w:sz w:val="6"/>
          <w:szCs w:val="22"/>
        </w:rPr>
      </w:pPr>
    </w:p>
    <w:p w14:paraId="3BA2FF93" w14:textId="41742481" w:rsidR="00594377" w:rsidRPr="004B18E8" w:rsidRDefault="007530F6" w:rsidP="00FE510B">
      <w:pPr>
        <w:tabs>
          <w:tab w:val="left" w:pos="270"/>
        </w:tabs>
        <w:jc w:val="center"/>
        <w:rPr>
          <w:rFonts w:ascii="Arial" w:hAnsi="Arial" w:cs="Arial"/>
          <w:sz w:val="16"/>
          <w:szCs w:val="18"/>
        </w:rPr>
      </w:pPr>
      <w:r w:rsidRPr="004B18E8">
        <w:rPr>
          <w:rFonts w:ascii="Arial" w:hAnsi="Arial" w:cs="Arial"/>
          <w:sz w:val="16"/>
          <w:szCs w:val="18"/>
        </w:rPr>
        <w:t># # #</w:t>
      </w:r>
    </w:p>
    <w:p w14:paraId="495923CD" w14:textId="77777777" w:rsidR="00594377" w:rsidRPr="000F031D" w:rsidRDefault="001855FB" w:rsidP="00594377">
      <w:pPr>
        <w:tabs>
          <w:tab w:val="left" w:pos="270"/>
        </w:tabs>
        <w:rPr>
          <w:rFonts w:ascii="Arial" w:hAnsi="Arial"/>
          <w:b/>
          <w:i/>
          <w:iCs/>
          <w:color w:val="808080" w:themeColor="background1" w:themeShade="80"/>
          <w:sz w:val="14"/>
          <w:szCs w:val="16"/>
        </w:rPr>
      </w:pPr>
      <w:r w:rsidRPr="000F031D">
        <w:rPr>
          <w:rFonts w:ascii="Arial" w:hAnsi="Arial"/>
          <w:b/>
          <w:color w:val="808080" w:themeColor="background1" w:themeShade="80"/>
          <w:sz w:val="14"/>
          <w:szCs w:val="16"/>
        </w:rPr>
        <w:t>About Topcon Positioning Group</w:t>
      </w:r>
      <w:r w:rsidR="00594377" w:rsidRPr="000F031D">
        <w:rPr>
          <w:rFonts w:ascii="Arial" w:hAnsi="Arial" w:cs="Arial"/>
          <w:i/>
          <w:iCs/>
          <w:sz w:val="14"/>
          <w:szCs w:val="16"/>
        </w:rPr>
        <w:t xml:space="preserve"> </w:t>
      </w:r>
    </w:p>
    <w:p w14:paraId="19F0EC39" w14:textId="72F0E4CD" w:rsidR="00773A4C" w:rsidRPr="000F031D" w:rsidRDefault="002C1A8C" w:rsidP="00594377">
      <w:pPr>
        <w:tabs>
          <w:tab w:val="left" w:pos="270"/>
        </w:tabs>
        <w:rPr>
          <w:rFonts w:ascii="Arial" w:hAnsi="Arial"/>
          <w:color w:val="808080" w:themeColor="background1" w:themeShade="80"/>
          <w:sz w:val="14"/>
          <w:szCs w:val="16"/>
        </w:rPr>
      </w:pPr>
      <w:r w:rsidRPr="000F031D">
        <w:rPr>
          <w:rFonts w:ascii="Arial" w:hAnsi="Arial"/>
          <w:color w:val="808080" w:themeColor="background1" w:themeShade="80"/>
          <w:sz w:val="14"/>
          <w:szCs w:val="16"/>
        </w:rPr>
        <w:t>Topcon Positioning Group is headquartered in Livermore, California, USA (</w:t>
      </w:r>
      <w:hyperlink r:id="rId14" w:history="1">
        <w:r w:rsidRPr="000F031D">
          <w:rPr>
            <w:rStyle w:val="Hyperlink"/>
            <w:rFonts w:ascii="Arial" w:hAnsi="Arial"/>
            <w:sz w:val="14"/>
            <w:szCs w:val="16"/>
          </w:rPr>
          <w:t>topconpositioning.com</w:t>
        </w:r>
      </w:hyperlink>
      <w:r w:rsidRPr="000F031D">
        <w:rPr>
          <w:rFonts w:ascii="Arial" w:hAnsi="Arial"/>
          <w:color w:val="808080" w:themeColor="background1" w:themeShade="80"/>
          <w:sz w:val="14"/>
          <w:szCs w:val="16"/>
        </w:rPr>
        <w:t xml:space="preserve">). Its European head office is in </w:t>
      </w:r>
      <w:proofErr w:type="spellStart"/>
      <w:r w:rsidRPr="000F031D">
        <w:rPr>
          <w:rFonts w:ascii="Arial" w:hAnsi="Arial"/>
          <w:color w:val="808080" w:themeColor="background1" w:themeShade="80"/>
          <w:sz w:val="14"/>
          <w:szCs w:val="16"/>
        </w:rPr>
        <w:t>Capelle</w:t>
      </w:r>
      <w:proofErr w:type="spellEnd"/>
      <w:r w:rsidRPr="000F031D">
        <w:rPr>
          <w:rFonts w:ascii="Arial" w:hAnsi="Arial"/>
          <w:color w:val="808080" w:themeColor="background1" w:themeShade="80"/>
          <w:sz w:val="14"/>
          <w:szCs w:val="16"/>
        </w:rPr>
        <w:t xml:space="preserve"> </w:t>
      </w:r>
      <w:proofErr w:type="spellStart"/>
      <w:r w:rsidRPr="000F031D">
        <w:rPr>
          <w:rFonts w:ascii="Arial" w:hAnsi="Arial"/>
          <w:color w:val="808080" w:themeColor="background1" w:themeShade="80"/>
          <w:sz w:val="14"/>
          <w:szCs w:val="16"/>
        </w:rPr>
        <w:t>a/d</w:t>
      </w:r>
      <w:proofErr w:type="spellEnd"/>
      <w:r w:rsidRPr="000F031D">
        <w:rPr>
          <w:rFonts w:ascii="Arial" w:hAnsi="Arial"/>
          <w:color w:val="808080" w:themeColor="background1" w:themeShade="80"/>
          <w:sz w:val="14"/>
          <w:szCs w:val="16"/>
        </w:rPr>
        <w:t xml:space="preserve"> </w:t>
      </w:r>
      <w:proofErr w:type="spellStart"/>
      <w:r w:rsidRPr="000F031D">
        <w:rPr>
          <w:rFonts w:ascii="Arial" w:hAnsi="Arial"/>
          <w:color w:val="808080" w:themeColor="background1" w:themeShade="80"/>
          <w:sz w:val="14"/>
          <w:szCs w:val="16"/>
        </w:rPr>
        <w:t>IJssel</w:t>
      </w:r>
      <w:proofErr w:type="spellEnd"/>
      <w:r w:rsidRPr="000F031D">
        <w:rPr>
          <w:rFonts w:ascii="Arial" w:hAnsi="Arial"/>
          <w:color w:val="808080" w:themeColor="background1" w:themeShade="80"/>
          <w:sz w:val="14"/>
          <w:szCs w:val="16"/>
        </w:rPr>
        <w:t>, the Netherlands (</w:t>
      </w:r>
      <w:hyperlink r:id="rId15" w:history="1">
        <w:r w:rsidRPr="000F031D">
          <w:rPr>
            <w:rStyle w:val="Hyperlink"/>
            <w:rFonts w:ascii="Arial" w:hAnsi="Arial"/>
            <w:sz w:val="14"/>
            <w:szCs w:val="16"/>
          </w:rPr>
          <w:t>topconpositioning.eu</w:t>
        </w:r>
      </w:hyperlink>
      <w:r w:rsidRPr="000F031D">
        <w:rPr>
          <w:rFonts w:ascii="Arial" w:hAnsi="Arial"/>
          <w:color w:val="808080" w:themeColor="background1" w:themeShade="80"/>
          <w:sz w:val="14"/>
          <w:szCs w:val="16"/>
        </w:rPr>
        <w:t xml:space="preserve">). Topcon Positioning Group designs, manufactures and distributes precise positioning products and solutions for the global surveying, construction, agriculture, civil engineering, BIM, mapping and GIS, asset management and mobile control markets.  Its brands include Topcon, Sokkia, Tierra, </w:t>
      </w:r>
      <w:proofErr w:type="spellStart"/>
      <w:r w:rsidRPr="000F031D">
        <w:rPr>
          <w:rFonts w:ascii="Arial" w:hAnsi="Arial"/>
          <w:color w:val="808080" w:themeColor="background1" w:themeShade="80"/>
          <w:sz w:val="14"/>
          <w:szCs w:val="16"/>
        </w:rPr>
        <w:t>Wachendorff</w:t>
      </w:r>
      <w:proofErr w:type="spellEnd"/>
      <w:r w:rsidRPr="000F031D">
        <w:rPr>
          <w:rFonts w:ascii="Arial" w:hAnsi="Arial"/>
          <w:color w:val="808080" w:themeColor="background1" w:themeShade="80"/>
          <w:sz w:val="14"/>
          <w:szCs w:val="16"/>
        </w:rPr>
        <w:t xml:space="preserve"> </w:t>
      </w:r>
      <w:proofErr w:type="spellStart"/>
      <w:r w:rsidRPr="000F031D">
        <w:rPr>
          <w:rFonts w:ascii="Arial" w:hAnsi="Arial"/>
          <w:color w:val="808080" w:themeColor="background1" w:themeShade="80"/>
          <w:sz w:val="14"/>
          <w:szCs w:val="16"/>
        </w:rPr>
        <w:t>Elektronik</w:t>
      </w:r>
      <w:proofErr w:type="spellEnd"/>
      <w:r w:rsidRPr="000F031D">
        <w:rPr>
          <w:rFonts w:ascii="Arial" w:hAnsi="Arial"/>
          <w:color w:val="808080" w:themeColor="background1" w:themeShade="80"/>
          <w:sz w:val="14"/>
          <w:szCs w:val="16"/>
        </w:rPr>
        <w:t xml:space="preserve">, </w:t>
      </w:r>
      <w:proofErr w:type="spellStart"/>
      <w:r w:rsidRPr="000F031D">
        <w:rPr>
          <w:rFonts w:ascii="Arial" w:hAnsi="Arial"/>
          <w:color w:val="808080" w:themeColor="background1" w:themeShade="80"/>
          <w:sz w:val="14"/>
          <w:szCs w:val="16"/>
        </w:rPr>
        <w:t>Digi</w:t>
      </w:r>
      <w:proofErr w:type="spellEnd"/>
      <w:r w:rsidRPr="000F031D">
        <w:rPr>
          <w:rFonts w:ascii="Arial" w:hAnsi="Arial"/>
          <w:color w:val="808080" w:themeColor="background1" w:themeShade="80"/>
          <w:sz w:val="14"/>
          <w:szCs w:val="16"/>
        </w:rPr>
        <w:t>-Star, RDS Technology, NORAC and 2LS. Topcon Corporation (</w:t>
      </w:r>
      <w:hyperlink r:id="rId16" w:history="1">
        <w:r w:rsidRPr="000F031D">
          <w:rPr>
            <w:rStyle w:val="Hyperlink"/>
            <w:rFonts w:ascii="Arial" w:hAnsi="Arial"/>
            <w:sz w:val="14"/>
            <w:szCs w:val="16"/>
          </w:rPr>
          <w:t>topcon.com</w:t>
        </w:r>
      </w:hyperlink>
      <w:r w:rsidRPr="000F031D">
        <w:rPr>
          <w:rFonts w:ascii="Arial" w:hAnsi="Arial"/>
          <w:color w:val="808080" w:themeColor="background1" w:themeShade="80"/>
          <w:sz w:val="14"/>
          <w:szCs w:val="16"/>
        </w:rPr>
        <w:t>), founded in 1932, is traded on the Tokyo Stock Exchange (7732). </w:t>
      </w:r>
    </w:p>
    <w:p w14:paraId="3063E94E" w14:textId="77777777" w:rsidR="00C725ED" w:rsidRPr="000F031D" w:rsidRDefault="00C725ED" w:rsidP="00E07F73">
      <w:pPr>
        <w:tabs>
          <w:tab w:val="left" w:pos="270"/>
        </w:tabs>
        <w:rPr>
          <w:rFonts w:ascii="Arial" w:hAnsi="Arial"/>
          <w:color w:val="808080" w:themeColor="background1" w:themeShade="80"/>
          <w:sz w:val="6"/>
          <w:szCs w:val="16"/>
        </w:rPr>
      </w:pPr>
    </w:p>
    <w:p w14:paraId="73C59904" w14:textId="77777777" w:rsidR="00EB1000" w:rsidRPr="000F031D" w:rsidRDefault="00EB1000" w:rsidP="00E07F73">
      <w:pPr>
        <w:tabs>
          <w:tab w:val="left" w:pos="270"/>
        </w:tabs>
        <w:rPr>
          <w:rFonts w:ascii="Arial" w:hAnsi="Arial"/>
          <w:b/>
          <w:color w:val="808080" w:themeColor="background1" w:themeShade="80"/>
          <w:sz w:val="14"/>
          <w:szCs w:val="14"/>
        </w:rPr>
      </w:pPr>
      <w:r w:rsidRPr="000F031D">
        <w:rPr>
          <w:rFonts w:ascii="Arial" w:hAnsi="Arial"/>
          <w:b/>
          <w:color w:val="808080" w:themeColor="background1" w:themeShade="80"/>
          <w:sz w:val="14"/>
          <w:szCs w:val="14"/>
        </w:rPr>
        <w:t>Press Information</w:t>
      </w:r>
    </w:p>
    <w:p w14:paraId="7E8C364B" w14:textId="3CE97EB4" w:rsidR="007530F6" w:rsidRPr="000F031D" w:rsidRDefault="007530F6" w:rsidP="00E07F73">
      <w:pPr>
        <w:tabs>
          <w:tab w:val="left" w:pos="270"/>
        </w:tabs>
        <w:rPr>
          <w:rFonts w:ascii="Arial" w:hAnsi="Arial"/>
          <w:color w:val="666666"/>
          <w:sz w:val="14"/>
          <w:szCs w:val="14"/>
        </w:rPr>
      </w:pPr>
      <w:r w:rsidRPr="000F031D">
        <w:rPr>
          <w:rFonts w:ascii="Arial" w:hAnsi="Arial"/>
          <w:color w:val="808080" w:themeColor="background1" w:themeShade="80"/>
          <w:sz w:val="14"/>
          <w:szCs w:val="14"/>
        </w:rPr>
        <w:t xml:space="preserve">Topcon Positioning </w:t>
      </w:r>
      <w:r w:rsidRPr="000F031D">
        <w:rPr>
          <w:rFonts w:ascii="Arial" w:hAnsi="Arial"/>
          <w:color w:val="666666"/>
          <w:sz w:val="14"/>
          <w:szCs w:val="14"/>
        </w:rPr>
        <w:t>Group</w:t>
      </w:r>
      <w:bookmarkStart w:id="0" w:name="_GoBack"/>
      <w:bookmarkEnd w:id="0"/>
    </w:p>
    <w:p w14:paraId="666F55C7" w14:textId="6EA2787D" w:rsidR="00F0754B" w:rsidRPr="000F031D" w:rsidRDefault="000F031D" w:rsidP="00E07F73">
      <w:pPr>
        <w:tabs>
          <w:tab w:val="left" w:pos="270"/>
        </w:tabs>
        <w:rPr>
          <w:rFonts w:ascii="Arial" w:hAnsi="Arial"/>
          <w:color w:val="666666"/>
          <w:sz w:val="14"/>
          <w:szCs w:val="14"/>
        </w:rPr>
      </w:pPr>
      <w:hyperlink r:id="rId17" w:history="1">
        <w:r w:rsidR="00F0754B" w:rsidRPr="000F031D">
          <w:rPr>
            <w:rStyle w:val="Hyperlink"/>
            <w:rFonts w:ascii="Arial" w:hAnsi="Arial"/>
            <w:sz w:val="14"/>
            <w:szCs w:val="14"/>
          </w:rPr>
          <w:t>CorpComm@topcon.com</w:t>
        </w:r>
      </w:hyperlink>
    </w:p>
    <w:p w14:paraId="37C04793" w14:textId="3101AC03" w:rsidR="00EB1000" w:rsidRPr="000F031D" w:rsidRDefault="00A74E93" w:rsidP="00E07F73">
      <w:pPr>
        <w:tabs>
          <w:tab w:val="left" w:pos="270"/>
        </w:tabs>
        <w:rPr>
          <w:rFonts w:ascii="Arial" w:hAnsi="Arial"/>
          <w:color w:val="808080" w:themeColor="background1" w:themeShade="80"/>
          <w:sz w:val="14"/>
          <w:szCs w:val="14"/>
        </w:rPr>
      </w:pPr>
      <w:r w:rsidRPr="000F031D">
        <w:rPr>
          <w:rFonts w:ascii="Arial" w:hAnsi="Arial"/>
          <w:color w:val="808080" w:themeColor="background1" w:themeShade="80"/>
          <w:sz w:val="14"/>
          <w:szCs w:val="14"/>
        </w:rPr>
        <w:t>USA: Staci Fitzgerald,</w:t>
      </w:r>
      <w:r w:rsidR="00EB1000" w:rsidRPr="000F031D">
        <w:rPr>
          <w:rFonts w:ascii="Arial" w:hAnsi="Arial"/>
          <w:color w:val="808080" w:themeColor="background1" w:themeShade="80"/>
          <w:sz w:val="14"/>
          <w:szCs w:val="14"/>
        </w:rPr>
        <w:t xml:space="preserve"> </w:t>
      </w:r>
      <w:r w:rsidR="00FD032D" w:rsidRPr="000F031D">
        <w:rPr>
          <w:rFonts w:ascii="Arial" w:hAnsi="Arial"/>
          <w:color w:val="808080" w:themeColor="background1" w:themeShade="80"/>
          <w:sz w:val="14"/>
          <w:szCs w:val="14"/>
        </w:rPr>
        <w:t xml:space="preserve">+1 </w:t>
      </w:r>
      <w:r w:rsidR="00EB1000" w:rsidRPr="000F031D">
        <w:rPr>
          <w:rFonts w:ascii="Arial" w:hAnsi="Arial"/>
          <w:color w:val="808080" w:themeColor="background1" w:themeShade="80"/>
          <w:sz w:val="14"/>
          <w:szCs w:val="14"/>
        </w:rPr>
        <w:t>925-245-8610</w:t>
      </w:r>
    </w:p>
    <w:p w14:paraId="48213CA0" w14:textId="7B3C04FC" w:rsidR="00E76568" w:rsidRPr="000F031D" w:rsidRDefault="00EB1000" w:rsidP="003420E6">
      <w:pPr>
        <w:tabs>
          <w:tab w:val="left" w:pos="270"/>
        </w:tabs>
        <w:rPr>
          <w:rFonts w:ascii="Arial" w:hAnsi="Arial"/>
          <w:color w:val="808080" w:themeColor="background1" w:themeShade="80"/>
          <w:sz w:val="14"/>
          <w:szCs w:val="14"/>
        </w:rPr>
      </w:pPr>
      <w:r w:rsidRPr="000F031D">
        <w:rPr>
          <w:rFonts w:ascii="Arial" w:hAnsi="Arial"/>
          <w:color w:val="808080" w:themeColor="background1" w:themeShade="80"/>
          <w:sz w:val="14"/>
          <w:szCs w:val="14"/>
        </w:rPr>
        <w:t>Europe: Stuart Proctor</w:t>
      </w:r>
      <w:r w:rsidR="00A74E93" w:rsidRPr="000F031D">
        <w:rPr>
          <w:rFonts w:ascii="Arial" w:hAnsi="Arial"/>
          <w:color w:val="808080" w:themeColor="background1" w:themeShade="80"/>
          <w:sz w:val="14"/>
          <w:szCs w:val="14"/>
        </w:rPr>
        <w:t>,</w:t>
      </w:r>
      <w:r w:rsidR="00FD032D" w:rsidRPr="000F031D">
        <w:rPr>
          <w:rFonts w:ascii="Arial" w:hAnsi="Arial"/>
          <w:color w:val="808080" w:themeColor="background1" w:themeShade="80"/>
          <w:sz w:val="14"/>
          <w:szCs w:val="14"/>
        </w:rPr>
        <w:t xml:space="preserve"> +31 10 458 50 77</w:t>
      </w:r>
    </w:p>
    <w:sectPr w:rsidR="00E76568" w:rsidRPr="000F031D" w:rsidSect="0009234C">
      <w:headerReference w:type="even" r:id="rId18"/>
      <w:headerReference w:type="default" r:id="rId19"/>
      <w:footerReference w:type="even" r:id="rId20"/>
      <w:footerReference w:type="default" r:id="rId21"/>
      <w:headerReference w:type="first" r:id="rId22"/>
      <w:footerReference w:type="first" r:id="rId23"/>
      <w:pgSz w:w="12240" w:h="15840"/>
      <w:pgMar w:top="2088" w:right="1440" w:bottom="1008" w:left="1440" w:header="360" w:footer="720" w:gutter="0"/>
      <w:cols w:space="720"/>
      <w:titlePg/>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F2B95A1" w14:textId="77777777" w:rsidR="00D41D9C" w:rsidRDefault="00D41D9C">
      <w:r>
        <w:separator/>
      </w:r>
    </w:p>
  </w:endnote>
  <w:endnote w:type="continuationSeparator" w:id="0">
    <w:p w14:paraId="638D11D4" w14:textId="77777777" w:rsidR="00D41D9C" w:rsidRDefault="00D41D9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EF" w:usb1="C0007841" w:usb2="00000009" w:usb3="00000000" w:csb0="000001FF" w:csb1="00000000"/>
  </w:font>
  <w:font w:name="MS Mincho">
    <w:altName w:val="ＭＳ 明朝"/>
    <w:charset w:val="4E"/>
    <w:family w:val="auto"/>
    <w:pitch w:val="variable"/>
    <w:sig w:usb0="E00002FF" w:usb1="6AC7FDFB" w:usb2="00000012" w:usb3="00000000" w:csb0="0002009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00000001" w:usb1="08070000" w:usb2="00000010" w:usb3="00000000" w:csb0="00020000" w:csb1="00000000"/>
  </w:font>
  <w:font w:name="Lucida Grande">
    <w:panose1 w:val="020B0600040502020204"/>
    <w:charset w:val="00"/>
    <w:family w:val="auto"/>
    <w:pitch w:val="variable"/>
    <w:sig w:usb0="E1000AEF" w:usb1="5000A1FF" w:usb2="00000000" w:usb3="00000000" w:csb0="000001BF" w:csb1="00000000"/>
  </w:font>
  <w:font w:name="Times">
    <w:panose1 w:val="02000500000000000000"/>
    <w:charset w:val="00"/>
    <w:family w:val="auto"/>
    <w:pitch w:val="variable"/>
    <w:sig w:usb0="00000003" w:usb1="00000000" w:usb2="00000000" w:usb3="00000000" w:csb0="00000001" w:csb1="00000000"/>
  </w:font>
  <w:font w:name="Calibri">
    <w:panose1 w:val="020F0502020204030204"/>
    <w:charset w:val="00"/>
    <w:family w:val="auto"/>
    <w:pitch w:val="variable"/>
    <w:sig w:usb0="E10002FF" w:usb1="4000ACFF" w:usb2="00000009" w:usb3="00000000" w:csb0="0000019F" w:csb1="00000000"/>
  </w:font>
  <w:font w:name="ＭＳ 明朝">
    <w:charset w:val="4E"/>
    <w:family w:val="auto"/>
    <w:pitch w:val="variable"/>
    <w:sig w:usb0="00000001" w:usb1="08070000" w:usb2="00000010" w:usb3="00000000" w:csb0="00020000" w:csb1="00000000"/>
  </w:font>
  <w:font w:name="Cambria">
    <w:panose1 w:val="02040503050406030204"/>
    <w:charset w:val="00"/>
    <w:family w:val="auto"/>
    <w:pitch w:val="variable"/>
    <w:sig w:usb0="E00002FF" w:usb1="400004FF"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72390F3" w14:textId="77777777" w:rsidR="00D41D9C" w:rsidRDefault="00D41D9C">
    <w:pPr>
      <w:pStyle w:val="Foote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257991D" w14:textId="77777777" w:rsidR="00D41D9C" w:rsidRDefault="00D41D9C">
    <w:pPr>
      <w:pStyle w:val="Footer"/>
    </w:pP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60406CF" w14:textId="175CD283" w:rsidR="00D41D9C" w:rsidRPr="00283069" w:rsidRDefault="00D41D9C" w:rsidP="00283069">
    <w:pPr>
      <w:pStyle w:val="Footer"/>
      <w:jc w:val="right"/>
    </w:pPr>
    <w:r>
      <w:rPr>
        <w:noProof/>
      </w:rPr>
      <w:drawing>
        <wp:inline distT="0" distB="0" distL="0" distR="0" wp14:anchorId="39636B9F" wp14:editId="7EF84176">
          <wp:extent cx="406400" cy="406400"/>
          <wp:effectExtent l="0" t="0" r="0" b="0"/>
          <wp:docPr id="1" name="Picture 1">
            <a:hlinkClick xmlns:a="http://schemas.openxmlformats.org/drawingml/2006/main" r:id="rId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rvlet.ImageServer.jpeg"/>
                  <pic:cNvPicPr/>
                </pic:nvPicPr>
                <pic:blipFill>
                  <a:blip r:embed="rId2">
                    <a:extLst>
                      <a:ext uri="{28A0092B-C50C-407E-A947-70E740481C1C}">
                        <a14:useLocalDpi xmlns:a14="http://schemas.microsoft.com/office/drawing/2010/main" val="0"/>
                      </a:ext>
                    </a:extLst>
                  </a:blip>
                  <a:stretch>
                    <a:fillRect/>
                  </a:stretch>
                </pic:blipFill>
                <pic:spPr>
                  <a:xfrm>
                    <a:off x="0" y="0"/>
                    <a:ext cx="406400" cy="406400"/>
                  </a:xfrm>
                  <a:prstGeom prst="rect">
                    <a:avLst/>
                  </a:prstGeom>
                </pic:spPr>
              </pic:pic>
            </a:graphicData>
          </a:graphic>
        </wp:inline>
      </w:drawing>
    </w:r>
    <w:r>
      <w:rPr>
        <w:noProof/>
      </w:rPr>
      <w:drawing>
        <wp:inline distT="0" distB="0" distL="0" distR="0" wp14:anchorId="34F60D50" wp14:editId="7CA99C90">
          <wp:extent cx="406400" cy="406400"/>
          <wp:effectExtent l="0" t="0" r="0" b="0"/>
          <wp:docPr id="6" name="Picture 6">
            <a:hlinkClick xmlns:a="http://schemas.openxmlformats.org/drawingml/2006/main" r:id="rId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rvlet-1.ImageServer.jpeg"/>
                  <pic:cNvPicPr/>
                </pic:nvPicPr>
                <pic:blipFill>
                  <a:blip r:embed="rId4">
                    <a:extLst>
                      <a:ext uri="{28A0092B-C50C-407E-A947-70E740481C1C}">
                        <a14:useLocalDpi xmlns:a14="http://schemas.microsoft.com/office/drawing/2010/main" val="0"/>
                      </a:ext>
                    </a:extLst>
                  </a:blip>
                  <a:stretch>
                    <a:fillRect/>
                  </a:stretch>
                </pic:blipFill>
                <pic:spPr>
                  <a:xfrm>
                    <a:off x="0" y="0"/>
                    <a:ext cx="406400" cy="406400"/>
                  </a:xfrm>
                  <a:prstGeom prst="rect">
                    <a:avLst/>
                  </a:prstGeom>
                </pic:spPr>
              </pic:pic>
            </a:graphicData>
          </a:graphic>
        </wp:inline>
      </w:drawing>
    </w:r>
    <w:r>
      <w:rPr>
        <w:noProof/>
      </w:rPr>
      <w:drawing>
        <wp:inline distT="0" distB="0" distL="0" distR="0" wp14:anchorId="13777A72" wp14:editId="16087964">
          <wp:extent cx="406400" cy="406400"/>
          <wp:effectExtent l="0" t="0" r="0" b="0"/>
          <wp:docPr id="5" name="Picture 5">
            <a:hlinkClick xmlns:a="http://schemas.openxmlformats.org/drawingml/2006/main" r:id="rId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rvlet-2.ImageServer.jpeg"/>
                  <pic:cNvPicPr/>
                </pic:nvPicPr>
                <pic:blipFill>
                  <a:blip r:embed="rId6">
                    <a:extLst>
                      <a:ext uri="{28A0092B-C50C-407E-A947-70E740481C1C}">
                        <a14:useLocalDpi xmlns:a14="http://schemas.microsoft.com/office/drawing/2010/main" val="0"/>
                      </a:ext>
                    </a:extLst>
                  </a:blip>
                  <a:stretch>
                    <a:fillRect/>
                  </a:stretch>
                </pic:blipFill>
                <pic:spPr>
                  <a:xfrm>
                    <a:off x="0" y="0"/>
                    <a:ext cx="406400" cy="406400"/>
                  </a:xfrm>
                  <a:prstGeom prst="rect">
                    <a:avLst/>
                  </a:prstGeom>
                </pic:spPr>
              </pic:pic>
            </a:graphicData>
          </a:graphic>
        </wp:inline>
      </w:drawing>
    </w:r>
    <w:r>
      <w:rPr>
        <w:noProof/>
      </w:rPr>
      <w:drawing>
        <wp:inline distT="0" distB="0" distL="0" distR="0" wp14:anchorId="65D63FE2" wp14:editId="655B6291">
          <wp:extent cx="406400" cy="406400"/>
          <wp:effectExtent l="0" t="0" r="0" b="0"/>
          <wp:docPr id="7" name="Picture 7">
            <a:hlinkClick xmlns:a="http://schemas.openxmlformats.org/drawingml/2006/main" r:id="rId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rvlet-3.ImageServer.jpeg"/>
                  <pic:cNvPicPr/>
                </pic:nvPicPr>
                <pic:blipFill>
                  <a:blip r:embed="rId8">
                    <a:extLst>
                      <a:ext uri="{28A0092B-C50C-407E-A947-70E740481C1C}">
                        <a14:useLocalDpi xmlns:a14="http://schemas.microsoft.com/office/drawing/2010/main" val="0"/>
                      </a:ext>
                    </a:extLst>
                  </a:blip>
                  <a:stretch>
                    <a:fillRect/>
                  </a:stretch>
                </pic:blipFill>
                <pic:spPr>
                  <a:xfrm>
                    <a:off x="0" y="0"/>
                    <a:ext cx="406400" cy="406400"/>
                  </a:xfrm>
                  <a:prstGeom prst="rect">
                    <a:avLst/>
                  </a:prstGeom>
                </pic:spPr>
              </pic:pic>
            </a:graphicData>
          </a:graphic>
        </wp:inline>
      </w:drawing>
    </w:r>
    <w:r>
      <w:rPr>
        <w:noProof/>
      </w:rPr>
      <w:drawing>
        <wp:inline distT="0" distB="0" distL="0" distR="0" wp14:anchorId="11F048F8" wp14:editId="44ED16AA">
          <wp:extent cx="406400" cy="406400"/>
          <wp:effectExtent l="0" t="0" r="0" b="0"/>
          <wp:docPr id="8" name="Picture 8">
            <a:hlinkClick xmlns:a="http://schemas.openxmlformats.org/drawingml/2006/main" r:id="rId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rvlet-4.ImageServer.jpeg"/>
                  <pic:cNvPicPr/>
                </pic:nvPicPr>
                <pic:blipFill>
                  <a:blip r:embed="rId10">
                    <a:extLst>
                      <a:ext uri="{28A0092B-C50C-407E-A947-70E740481C1C}">
                        <a14:useLocalDpi xmlns:a14="http://schemas.microsoft.com/office/drawing/2010/main" val="0"/>
                      </a:ext>
                    </a:extLst>
                  </a:blip>
                  <a:stretch>
                    <a:fillRect/>
                  </a:stretch>
                </pic:blipFill>
                <pic:spPr>
                  <a:xfrm>
                    <a:off x="0" y="0"/>
                    <a:ext cx="406400" cy="406400"/>
                  </a:xfrm>
                  <a:prstGeom prst="rect">
                    <a:avLst/>
                  </a:prstGeom>
                </pic:spPr>
              </pic:pic>
            </a:graphicData>
          </a:graphic>
        </wp:inline>
      </w:drawing>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817C0F7" w14:textId="77777777" w:rsidR="00D41D9C" w:rsidRDefault="00D41D9C">
      <w:r>
        <w:separator/>
      </w:r>
    </w:p>
  </w:footnote>
  <w:footnote w:type="continuationSeparator" w:id="0">
    <w:p w14:paraId="017A5502" w14:textId="77777777" w:rsidR="00D41D9C" w:rsidRDefault="00D41D9C">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F33320B" w14:textId="77777777" w:rsidR="00D41D9C" w:rsidRDefault="00D41D9C">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B3438C9" w14:textId="77777777" w:rsidR="00D41D9C" w:rsidRDefault="00D41D9C">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A94034B" w14:textId="77777777" w:rsidR="00D41D9C" w:rsidRPr="00EB1000" w:rsidRDefault="00D41D9C" w:rsidP="00846CEF">
    <w:pPr>
      <w:pStyle w:val="Header"/>
      <w:ind w:left="-720" w:right="-720"/>
      <w:jc w:val="center"/>
      <w:rPr>
        <w:rFonts w:ascii="Arial" w:hAnsi="Arial"/>
        <w:color w:val="FFFFFF" w:themeColor="background1"/>
      </w:rPr>
    </w:pPr>
    <w:r>
      <w:rPr>
        <w:rFonts w:ascii="Arial" w:hAnsi="Arial"/>
        <w:noProof/>
        <w:color w:val="FFFFFF" w:themeColor="background1"/>
      </w:rPr>
      <w:drawing>
        <wp:anchor distT="0" distB="0" distL="114300" distR="114300" simplePos="0" relativeHeight="251658240" behindDoc="1" locked="0" layoutInCell="1" allowOverlap="1" wp14:anchorId="18B77529" wp14:editId="03BCF104">
          <wp:simplePos x="0" y="0"/>
          <wp:positionH relativeFrom="column">
            <wp:posOffset>-634365</wp:posOffset>
          </wp:positionH>
          <wp:positionV relativeFrom="paragraph">
            <wp:posOffset>2540</wp:posOffset>
          </wp:positionV>
          <wp:extent cx="7252335" cy="1093497"/>
          <wp:effectExtent l="0" t="0" r="12065"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pconPR_header-A4.png"/>
                  <pic:cNvPicPr/>
                </pic:nvPicPr>
                <pic:blipFill rotWithShape="1">
                  <a:blip r:embed="rId1">
                    <a:extLst>
                      <a:ext uri="{28A0092B-C50C-407E-A947-70E740481C1C}">
                        <a14:useLocalDpi xmlns:a14="http://schemas.microsoft.com/office/drawing/2010/main" val="0"/>
                      </a:ext>
                    </a:extLst>
                  </a:blip>
                  <a:srcRect l="-86" t="-235" r="-86" b="-235"/>
                  <a:stretch/>
                </pic:blipFill>
                <pic:spPr bwMode="auto">
                  <a:xfrm>
                    <a:off x="0" y="0"/>
                    <a:ext cx="7252335" cy="1093497"/>
                  </a:xfrm>
                  <a:prstGeom prst="rect">
                    <a:avLst/>
                  </a:prstGeom>
                  <a:ln>
                    <a:noFill/>
                  </a:ln>
                  <a:extLst>
                    <a:ext uri="{53640926-AAD7-44d8-BBD7-CCE9431645EC}">
                      <a14:shadowObscured xmlns:a14="http://schemas.microsoft.com/office/drawing/2010/main"/>
                    </a:ex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p>
  <w:p w14:paraId="1B4F5354" w14:textId="77777777" w:rsidR="00D41D9C" w:rsidRPr="00EB1000" w:rsidRDefault="00D41D9C" w:rsidP="00220127">
    <w:pPr>
      <w:pStyle w:val="Header"/>
      <w:ind w:right="-720"/>
      <w:jc w:val="right"/>
      <w:rPr>
        <w:rFonts w:ascii="Arial" w:hAnsi="Arial"/>
        <w:color w:val="FFFFFF" w:themeColor="background1"/>
        <w:sz w:val="32"/>
        <w:szCs w:val="32"/>
      </w:rPr>
    </w:pPr>
  </w:p>
  <w:p w14:paraId="4D3C7363" w14:textId="77777777" w:rsidR="00D41D9C" w:rsidRPr="001A276A" w:rsidRDefault="00D41D9C" w:rsidP="00220127">
    <w:pPr>
      <w:pStyle w:val="Header"/>
      <w:ind w:right="-720"/>
      <w:jc w:val="right"/>
      <w:rPr>
        <w:rFonts w:ascii="Arial" w:hAnsi="Arial"/>
        <w:color w:val="EEB111"/>
        <w:sz w:val="32"/>
        <w:szCs w:val="32"/>
      </w:rPr>
    </w:pPr>
    <w:r w:rsidRPr="001A276A">
      <w:rPr>
        <w:rFonts w:ascii="Arial" w:hAnsi="Arial"/>
        <w:color w:val="EEB111"/>
        <w:sz w:val="32"/>
        <w:szCs w:val="32"/>
      </w:rPr>
      <w:t>PRESS RELEASE</w:t>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03A0B04"/>
    <w:multiLevelType w:val="hybridMultilevel"/>
    <w:tmpl w:val="8898A116"/>
    <w:lvl w:ilvl="0" w:tplc="1EE451B8">
      <w:numFmt w:val="bullet"/>
      <w:lvlText w:val="-"/>
      <w:lvlJc w:val="left"/>
      <w:pPr>
        <w:tabs>
          <w:tab w:val="num" w:pos="360"/>
        </w:tabs>
        <w:ind w:left="360" w:hanging="360"/>
      </w:pPr>
      <w:rPr>
        <w:rFonts w:ascii="Times New Roman" w:eastAsia="MS Mincho" w:hAnsi="Times New Roman" w:cs="Times New Roman" w:hint="default"/>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8"/>
  <w:embedSystemFonts/>
  <w:proofState w:spelling="clean" w:grammar="clean"/>
  <w:defaultTabStop w:val="720"/>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13E5B"/>
    <w:rsid w:val="00006C61"/>
    <w:rsid w:val="000418C2"/>
    <w:rsid w:val="00073328"/>
    <w:rsid w:val="000872FF"/>
    <w:rsid w:val="0009234C"/>
    <w:rsid w:val="000A6DD5"/>
    <w:rsid w:val="000B5413"/>
    <w:rsid w:val="000C3C4C"/>
    <w:rsid w:val="000C6429"/>
    <w:rsid w:val="000D117E"/>
    <w:rsid w:val="000F031D"/>
    <w:rsid w:val="00105D3C"/>
    <w:rsid w:val="00123665"/>
    <w:rsid w:val="00163F32"/>
    <w:rsid w:val="00177523"/>
    <w:rsid w:val="001855FB"/>
    <w:rsid w:val="001A017D"/>
    <w:rsid w:val="001A276A"/>
    <w:rsid w:val="001A5950"/>
    <w:rsid w:val="001B6BA0"/>
    <w:rsid w:val="001C3D5A"/>
    <w:rsid w:val="001D47AE"/>
    <w:rsid w:val="001E495F"/>
    <w:rsid w:val="001F02F7"/>
    <w:rsid w:val="00211CAC"/>
    <w:rsid w:val="0021353A"/>
    <w:rsid w:val="00220127"/>
    <w:rsid w:val="00234742"/>
    <w:rsid w:val="002377E8"/>
    <w:rsid w:val="00265C21"/>
    <w:rsid w:val="00267859"/>
    <w:rsid w:val="002751AA"/>
    <w:rsid w:val="00280B3F"/>
    <w:rsid w:val="00283069"/>
    <w:rsid w:val="00283421"/>
    <w:rsid w:val="002B2158"/>
    <w:rsid w:val="002B65A9"/>
    <w:rsid w:val="002B7EB0"/>
    <w:rsid w:val="002C1A8C"/>
    <w:rsid w:val="002E2BC8"/>
    <w:rsid w:val="002E5E21"/>
    <w:rsid w:val="00313F6E"/>
    <w:rsid w:val="0032173B"/>
    <w:rsid w:val="003217F4"/>
    <w:rsid w:val="00340920"/>
    <w:rsid w:val="003420E6"/>
    <w:rsid w:val="00353911"/>
    <w:rsid w:val="00355294"/>
    <w:rsid w:val="003801D4"/>
    <w:rsid w:val="0039761D"/>
    <w:rsid w:val="003A6C06"/>
    <w:rsid w:val="003A7243"/>
    <w:rsid w:val="003B1941"/>
    <w:rsid w:val="003B49D6"/>
    <w:rsid w:val="003C6648"/>
    <w:rsid w:val="003F134C"/>
    <w:rsid w:val="003F5E34"/>
    <w:rsid w:val="00413E95"/>
    <w:rsid w:val="00416269"/>
    <w:rsid w:val="0043387D"/>
    <w:rsid w:val="00433A38"/>
    <w:rsid w:val="00452580"/>
    <w:rsid w:val="00471166"/>
    <w:rsid w:val="004755C7"/>
    <w:rsid w:val="004B18E8"/>
    <w:rsid w:val="004C2A52"/>
    <w:rsid w:val="004D17D5"/>
    <w:rsid w:val="00513E5B"/>
    <w:rsid w:val="0053789D"/>
    <w:rsid w:val="005378E1"/>
    <w:rsid w:val="0054229B"/>
    <w:rsid w:val="005502C7"/>
    <w:rsid w:val="0058710D"/>
    <w:rsid w:val="00587A94"/>
    <w:rsid w:val="00594377"/>
    <w:rsid w:val="005A23A0"/>
    <w:rsid w:val="005A4B01"/>
    <w:rsid w:val="005C44F8"/>
    <w:rsid w:val="005C48E8"/>
    <w:rsid w:val="005F0C86"/>
    <w:rsid w:val="005F3D0B"/>
    <w:rsid w:val="006103A4"/>
    <w:rsid w:val="0061068D"/>
    <w:rsid w:val="006112E8"/>
    <w:rsid w:val="0061580F"/>
    <w:rsid w:val="00617F10"/>
    <w:rsid w:val="00622524"/>
    <w:rsid w:val="006274D0"/>
    <w:rsid w:val="00637E81"/>
    <w:rsid w:val="0064309C"/>
    <w:rsid w:val="00644D92"/>
    <w:rsid w:val="006456AE"/>
    <w:rsid w:val="00653C74"/>
    <w:rsid w:val="0069002A"/>
    <w:rsid w:val="006926B3"/>
    <w:rsid w:val="006B2A9A"/>
    <w:rsid w:val="006E05C2"/>
    <w:rsid w:val="007530F6"/>
    <w:rsid w:val="00756005"/>
    <w:rsid w:val="007605FA"/>
    <w:rsid w:val="00765F8C"/>
    <w:rsid w:val="00773A4C"/>
    <w:rsid w:val="0078639E"/>
    <w:rsid w:val="00793962"/>
    <w:rsid w:val="007B3233"/>
    <w:rsid w:val="007C481B"/>
    <w:rsid w:val="007D26FD"/>
    <w:rsid w:val="007D51D2"/>
    <w:rsid w:val="00810DE0"/>
    <w:rsid w:val="00813405"/>
    <w:rsid w:val="008141F4"/>
    <w:rsid w:val="008205DE"/>
    <w:rsid w:val="00832E9A"/>
    <w:rsid w:val="00846CEF"/>
    <w:rsid w:val="00853C9A"/>
    <w:rsid w:val="00870D37"/>
    <w:rsid w:val="008802C4"/>
    <w:rsid w:val="00891FF7"/>
    <w:rsid w:val="00892065"/>
    <w:rsid w:val="008962D4"/>
    <w:rsid w:val="008A122A"/>
    <w:rsid w:val="008D0202"/>
    <w:rsid w:val="008E6FD9"/>
    <w:rsid w:val="008F54A3"/>
    <w:rsid w:val="009434F4"/>
    <w:rsid w:val="009558FC"/>
    <w:rsid w:val="00956EF7"/>
    <w:rsid w:val="0096450B"/>
    <w:rsid w:val="009666D5"/>
    <w:rsid w:val="00975493"/>
    <w:rsid w:val="009964DE"/>
    <w:rsid w:val="009C4C55"/>
    <w:rsid w:val="00A06D66"/>
    <w:rsid w:val="00A14D4F"/>
    <w:rsid w:val="00A30213"/>
    <w:rsid w:val="00A324A3"/>
    <w:rsid w:val="00A41F3F"/>
    <w:rsid w:val="00A47E24"/>
    <w:rsid w:val="00A57BD4"/>
    <w:rsid w:val="00A60195"/>
    <w:rsid w:val="00A74E93"/>
    <w:rsid w:val="00A9365C"/>
    <w:rsid w:val="00A976A5"/>
    <w:rsid w:val="00AA2A43"/>
    <w:rsid w:val="00AC09BA"/>
    <w:rsid w:val="00AE0D23"/>
    <w:rsid w:val="00AE6481"/>
    <w:rsid w:val="00B35AF9"/>
    <w:rsid w:val="00B402B7"/>
    <w:rsid w:val="00B4058E"/>
    <w:rsid w:val="00B63468"/>
    <w:rsid w:val="00B92736"/>
    <w:rsid w:val="00B92C56"/>
    <w:rsid w:val="00B92CFE"/>
    <w:rsid w:val="00BB19B5"/>
    <w:rsid w:val="00BB25D3"/>
    <w:rsid w:val="00BB4455"/>
    <w:rsid w:val="00BC0C4B"/>
    <w:rsid w:val="00BC6358"/>
    <w:rsid w:val="00BD71D0"/>
    <w:rsid w:val="00BE12FA"/>
    <w:rsid w:val="00BE5DE2"/>
    <w:rsid w:val="00BF37F1"/>
    <w:rsid w:val="00C01690"/>
    <w:rsid w:val="00C03ADA"/>
    <w:rsid w:val="00C31391"/>
    <w:rsid w:val="00C638D1"/>
    <w:rsid w:val="00C725ED"/>
    <w:rsid w:val="00C7597C"/>
    <w:rsid w:val="00C813AB"/>
    <w:rsid w:val="00C81D46"/>
    <w:rsid w:val="00C92C21"/>
    <w:rsid w:val="00C96821"/>
    <w:rsid w:val="00CD3455"/>
    <w:rsid w:val="00CD7DED"/>
    <w:rsid w:val="00CE188F"/>
    <w:rsid w:val="00CE7843"/>
    <w:rsid w:val="00CF403B"/>
    <w:rsid w:val="00CF7FC5"/>
    <w:rsid w:val="00D41D9C"/>
    <w:rsid w:val="00D47414"/>
    <w:rsid w:val="00D55832"/>
    <w:rsid w:val="00D6369D"/>
    <w:rsid w:val="00D647FC"/>
    <w:rsid w:val="00D672DA"/>
    <w:rsid w:val="00D6784A"/>
    <w:rsid w:val="00D70AF0"/>
    <w:rsid w:val="00D70EE2"/>
    <w:rsid w:val="00D91CF0"/>
    <w:rsid w:val="00D979CB"/>
    <w:rsid w:val="00DC60A0"/>
    <w:rsid w:val="00E07F73"/>
    <w:rsid w:val="00E16158"/>
    <w:rsid w:val="00E32B47"/>
    <w:rsid w:val="00E47E09"/>
    <w:rsid w:val="00E76568"/>
    <w:rsid w:val="00EB1000"/>
    <w:rsid w:val="00ED70D3"/>
    <w:rsid w:val="00EE33D2"/>
    <w:rsid w:val="00F0754B"/>
    <w:rsid w:val="00F463E2"/>
    <w:rsid w:val="00F55F20"/>
    <w:rsid w:val="00F757D3"/>
    <w:rsid w:val="00F81B4F"/>
    <w:rsid w:val="00F84020"/>
    <w:rsid w:val="00F86AB9"/>
    <w:rsid w:val="00F86B3B"/>
    <w:rsid w:val="00F94B4A"/>
    <w:rsid w:val="00F94B69"/>
    <w:rsid w:val="00F94E58"/>
    <w:rsid w:val="00FA3772"/>
    <w:rsid w:val="00FB0DA8"/>
    <w:rsid w:val="00FB146B"/>
    <w:rsid w:val="00FB4CB7"/>
    <w:rsid w:val="00FB613D"/>
    <w:rsid w:val="00FC36F6"/>
    <w:rsid w:val="00FD032D"/>
    <w:rsid w:val="00FD070E"/>
    <w:rsid w:val="00FD6101"/>
    <w:rsid w:val="00FE510B"/>
    <w:rsid w:val="00FF2C43"/>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oNotEmbedSmartTags/>
  <w:decimalSymbol w:val="."/>
  <w:listSeparator w:val=","/>
  <w14:docId w14:val="164EDDB3"/>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02764"/>
    <w:rPr>
      <w:sz w:val="24"/>
      <w:szCs w:val="24"/>
    </w:rPr>
  </w:style>
  <w:style w:type="paragraph" w:styleId="Heading1">
    <w:name w:val="heading 1"/>
    <w:basedOn w:val="Normal"/>
    <w:next w:val="Normal"/>
    <w:link w:val="Heading1Char"/>
    <w:uiPriority w:val="9"/>
    <w:qFormat/>
    <w:rsid w:val="00413E95"/>
    <w:pPr>
      <w:keepNext/>
      <w:keepLines/>
      <w:spacing w:before="480" w:after="240"/>
      <w:outlineLvl w:val="0"/>
    </w:pPr>
    <w:rPr>
      <w:rFonts w:ascii="Arial" w:eastAsiaTheme="majorEastAsia" w:hAnsi="Arial" w:cstheme="majorBidi"/>
      <w:b/>
      <w:bCs/>
      <w:color w:val="000000" w:themeColor="text1"/>
      <w:sz w:val="44"/>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semiHidden/>
    <w:rsid w:val="00340904"/>
    <w:rPr>
      <w:rFonts w:ascii="Lucida Grande" w:hAnsi="Lucida Grande"/>
      <w:sz w:val="18"/>
      <w:szCs w:val="18"/>
    </w:rPr>
  </w:style>
  <w:style w:type="paragraph" w:styleId="Header">
    <w:name w:val="header"/>
    <w:basedOn w:val="Normal"/>
    <w:rsid w:val="00B02764"/>
    <w:pPr>
      <w:tabs>
        <w:tab w:val="center" w:pos="4320"/>
        <w:tab w:val="right" w:pos="8640"/>
      </w:tabs>
    </w:pPr>
  </w:style>
  <w:style w:type="paragraph" w:styleId="Footer">
    <w:name w:val="footer"/>
    <w:basedOn w:val="Normal"/>
    <w:semiHidden/>
    <w:rsid w:val="00B02764"/>
    <w:pPr>
      <w:tabs>
        <w:tab w:val="center" w:pos="4320"/>
        <w:tab w:val="right" w:pos="8640"/>
      </w:tabs>
    </w:pPr>
  </w:style>
  <w:style w:type="character" w:styleId="PageNumber">
    <w:name w:val="page number"/>
    <w:basedOn w:val="DefaultParagraphFont"/>
    <w:rsid w:val="00B02764"/>
  </w:style>
  <w:style w:type="paragraph" w:styleId="NormalWeb">
    <w:name w:val="Normal (Web)"/>
    <w:basedOn w:val="Normal"/>
    <w:uiPriority w:val="99"/>
    <w:unhideWhenUsed/>
    <w:rsid w:val="000F15F5"/>
    <w:pPr>
      <w:spacing w:before="100" w:beforeAutospacing="1" w:after="100" w:afterAutospacing="1"/>
    </w:pPr>
    <w:rPr>
      <w:rFonts w:ascii="Times" w:eastAsia="MS Mincho" w:hAnsi="Times"/>
      <w:sz w:val="20"/>
      <w:szCs w:val="20"/>
    </w:rPr>
  </w:style>
  <w:style w:type="character" w:styleId="Hyperlink">
    <w:name w:val="Hyperlink"/>
    <w:uiPriority w:val="99"/>
    <w:unhideWhenUsed/>
    <w:rsid w:val="000F15F5"/>
    <w:rPr>
      <w:color w:val="0000FF"/>
      <w:u w:val="single"/>
    </w:rPr>
  </w:style>
  <w:style w:type="character" w:styleId="FollowedHyperlink">
    <w:name w:val="FollowedHyperlink"/>
    <w:uiPriority w:val="99"/>
    <w:semiHidden/>
    <w:unhideWhenUsed/>
    <w:rsid w:val="0061580F"/>
    <w:rPr>
      <w:color w:val="800080"/>
      <w:u w:val="single"/>
    </w:rPr>
  </w:style>
  <w:style w:type="character" w:customStyle="1" w:styleId="Heading1Char">
    <w:name w:val="Heading 1 Char"/>
    <w:basedOn w:val="DefaultParagraphFont"/>
    <w:link w:val="Heading1"/>
    <w:uiPriority w:val="9"/>
    <w:rsid w:val="00413E95"/>
    <w:rPr>
      <w:rFonts w:ascii="Arial" w:eastAsiaTheme="majorEastAsia" w:hAnsi="Arial" w:cstheme="majorBidi"/>
      <w:b/>
      <w:bCs/>
      <w:color w:val="000000" w:themeColor="text1"/>
      <w:sz w:val="44"/>
      <w:szCs w:val="32"/>
    </w:rPr>
  </w:style>
  <w:style w:type="character" w:styleId="CommentReference">
    <w:name w:val="annotation reference"/>
    <w:basedOn w:val="DefaultParagraphFont"/>
    <w:uiPriority w:val="99"/>
    <w:semiHidden/>
    <w:unhideWhenUsed/>
    <w:rsid w:val="00E76568"/>
    <w:rPr>
      <w:sz w:val="16"/>
      <w:szCs w:val="16"/>
    </w:rPr>
  </w:style>
  <w:style w:type="paragraph" w:styleId="CommentText">
    <w:name w:val="annotation text"/>
    <w:basedOn w:val="Normal"/>
    <w:link w:val="CommentTextChar"/>
    <w:uiPriority w:val="99"/>
    <w:semiHidden/>
    <w:unhideWhenUsed/>
    <w:rsid w:val="00E76568"/>
    <w:rPr>
      <w:sz w:val="20"/>
      <w:szCs w:val="20"/>
    </w:rPr>
  </w:style>
  <w:style w:type="character" w:customStyle="1" w:styleId="CommentTextChar">
    <w:name w:val="Comment Text Char"/>
    <w:basedOn w:val="DefaultParagraphFont"/>
    <w:link w:val="CommentText"/>
    <w:uiPriority w:val="99"/>
    <w:semiHidden/>
    <w:rsid w:val="00E76568"/>
  </w:style>
  <w:style w:type="paragraph" w:styleId="CommentSubject">
    <w:name w:val="annotation subject"/>
    <w:basedOn w:val="CommentText"/>
    <w:next w:val="CommentText"/>
    <w:link w:val="CommentSubjectChar"/>
    <w:uiPriority w:val="99"/>
    <w:semiHidden/>
    <w:unhideWhenUsed/>
    <w:rsid w:val="00E76568"/>
    <w:rPr>
      <w:b/>
      <w:bCs/>
    </w:rPr>
  </w:style>
  <w:style w:type="character" w:customStyle="1" w:styleId="CommentSubjectChar">
    <w:name w:val="Comment Subject Char"/>
    <w:basedOn w:val="CommentTextChar"/>
    <w:link w:val="CommentSubject"/>
    <w:uiPriority w:val="99"/>
    <w:semiHidden/>
    <w:rsid w:val="00E76568"/>
    <w:rPr>
      <w:b/>
      <w:bCs/>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02764"/>
    <w:rPr>
      <w:sz w:val="24"/>
      <w:szCs w:val="24"/>
    </w:rPr>
  </w:style>
  <w:style w:type="paragraph" w:styleId="Heading1">
    <w:name w:val="heading 1"/>
    <w:basedOn w:val="Normal"/>
    <w:next w:val="Normal"/>
    <w:link w:val="Heading1Char"/>
    <w:uiPriority w:val="9"/>
    <w:qFormat/>
    <w:rsid w:val="00413E95"/>
    <w:pPr>
      <w:keepNext/>
      <w:keepLines/>
      <w:spacing w:before="480" w:after="240"/>
      <w:outlineLvl w:val="0"/>
    </w:pPr>
    <w:rPr>
      <w:rFonts w:ascii="Arial" w:eastAsiaTheme="majorEastAsia" w:hAnsi="Arial" w:cstheme="majorBidi"/>
      <w:b/>
      <w:bCs/>
      <w:color w:val="000000" w:themeColor="text1"/>
      <w:sz w:val="44"/>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semiHidden/>
    <w:rsid w:val="00340904"/>
    <w:rPr>
      <w:rFonts w:ascii="Lucida Grande" w:hAnsi="Lucida Grande"/>
      <w:sz w:val="18"/>
      <w:szCs w:val="18"/>
    </w:rPr>
  </w:style>
  <w:style w:type="paragraph" w:styleId="Header">
    <w:name w:val="header"/>
    <w:basedOn w:val="Normal"/>
    <w:rsid w:val="00B02764"/>
    <w:pPr>
      <w:tabs>
        <w:tab w:val="center" w:pos="4320"/>
        <w:tab w:val="right" w:pos="8640"/>
      </w:tabs>
    </w:pPr>
  </w:style>
  <w:style w:type="paragraph" w:styleId="Footer">
    <w:name w:val="footer"/>
    <w:basedOn w:val="Normal"/>
    <w:semiHidden/>
    <w:rsid w:val="00B02764"/>
    <w:pPr>
      <w:tabs>
        <w:tab w:val="center" w:pos="4320"/>
        <w:tab w:val="right" w:pos="8640"/>
      </w:tabs>
    </w:pPr>
  </w:style>
  <w:style w:type="character" w:styleId="PageNumber">
    <w:name w:val="page number"/>
    <w:basedOn w:val="DefaultParagraphFont"/>
    <w:rsid w:val="00B02764"/>
  </w:style>
  <w:style w:type="paragraph" w:styleId="NormalWeb">
    <w:name w:val="Normal (Web)"/>
    <w:basedOn w:val="Normal"/>
    <w:uiPriority w:val="99"/>
    <w:unhideWhenUsed/>
    <w:rsid w:val="000F15F5"/>
    <w:pPr>
      <w:spacing w:before="100" w:beforeAutospacing="1" w:after="100" w:afterAutospacing="1"/>
    </w:pPr>
    <w:rPr>
      <w:rFonts w:ascii="Times" w:eastAsia="MS Mincho" w:hAnsi="Times"/>
      <w:sz w:val="20"/>
      <w:szCs w:val="20"/>
    </w:rPr>
  </w:style>
  <w:style w:type="character" w:styleId="Hyperlink">
    <w:name w:val="Hyperlink"/>
    <w:uiPriority w:val="99"/>
    <w:unhideWhenUsed/>
    <w:rsid w:val="000F15F5"/>
    <w:rPr>
      <w:color w:val="0000FF"/>
      <w:u w:val="single"/>
    </w:rPr>
  </w:style>
  <w:style w:type="character" w:styleId="FollowedHyperlink">
    <w:name w:val="FollowedHyperlink"/>
    <w:uiPriority w:val="99"/>
    <w:semiHidden/>
    <w:unhideWhenUsed/>
    <w:rsid w:val="0061580F"/>
    <w:rPr>
      <w:color w:val="800080"/>
      <w:u w:val="single"/>
    </w:rPr>
  </w:style>
  <w:style w:type="character" w:customStyle="1" w:styleId="Heading1Char">
    <w:name w:val="Heading 1 Char"/>
    <w:basedOn w:val="DefaultParagraphFont"/>
    <w:link w:val="Heading1"/>
    <w:uiPriority w:val="9"/>
    <w:rsid w:val="00413E95"/>
    <w:rPr>
      <w:rFonts w:ascii="Arial" w:eastAsiaTheme="majorEastAsia" w:hAnsi="Arial" w:cstheme="majorBidi"/>
      <w:b/>
      <w:bCs/>
      <w:color w:val="000000" w:themeColor="text1"/>
      <w:sz w:val="44"/>
      <w:szCs w:val="32"/>
    </w:rPr>
  </w:style>
  <w:style w:type="character" w:styleId="CommentReference">
    <w:name w:val="annotation reference"/>
    <w:basedOn w:val="DefaultParagraphFont"/>
    <w:uiPriority w:val="99"/>
    <w:semiHidden/>
    <w:unhideWhenUsed/>
    <w:rsid w:val="00E76568"/>
    <w:rPr>
      <w:sz w:val="16"/>
      <w:szCs w:val="16"/>
    </w:rPr>
  </w:style>
  <w:style w:type="paragraph" w:styleId="CommentText">
    <w:name w:val="annotation text"/>
    <w:basedOn w:val="Normal"/>
    <w:link w:val="CommentTextChar"/>
    <w:uiPriority w:val="99"/>
    <w:semiHidden/>
    <w:unhideWhenUsed/>
    <w:rsid w:val="00E76568"/>
    <w:rPr>
      <w:sz w:val="20"/>
      <w:szCs w:val="20"/>
    </w:rPr>
  </w:style>
  <w:style w:type="character" w:customStyle="1" w:styleId="CommentTextChar">
    <w:name w:val="Comment Text Char"/>
    <w:basedOn w:val="DefaultParagraphFont"/>
    <w:link w:val="CommentText"/>
    <w:uiPriority w:val="99"/>
    <w:semiHidden/>
    <w:rsid w:val="00E76568"/>
  </w:style>
  <w:style w:type="paragraph" w:styleId="CommentSubject">
    <w:name w:val="annotation subject"/>
    <w:basedOn w:val="CommentText"/>
    <w:next w:val="CommentText"/>
    <w:link w:val="CommentSubjectChar"/>
    <w:uiPriority w:val="99"/>
    <w:semiHidden/>
    <w:unhideWhenUsed/>
    <w:rsid w:val="00E76568"/>
    <w:rPr>
      <w:b/>
      <w:bCs/>
    </w:rPr>
  </w:style>
  <w:style w:type="character" w:customStyle="1" w:styleId="CommentSubjectChar">
    <w:name w:val="Comment Subject Char"/>
    <w:basedOn w:val="CommentTextChar"/>
    <w:link w:val="CommentSubject"/>
    <w:uiPriority w:val="99"/>
    <w:semiHidden/>
    <w:rsid w:val="00E76568"/>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1.jpeg"/><Relationship Id="rId20" Type="http://schemas.openxmlformats.org/officeDocument/2006/relationships/footer" Target="footer1.xml"/><Relationship Id="rId21" Type="http://schemas.openxmlformats.org/officeDocument/2006/relationships/footer" Target="footer2.xml"/><Relationship Id="rId22" Type="http://schemas.openxmlformats.org/officeDocument/2006/relationships/header" Target="header3.xml"/><Relationship Id="rId23" Type="http://schemas.openxmlformats.org/officeDocument/2006/relationships/footer" Target="footer3.xml"/><Relationship Id="rId24" Type="http://schemas.openxmlformats.org/officeDocument/2006/relationships/fontTable" Target="fontTable.xml"/><Relationship Id="rId25" Type="http://schemas.openxmlformats.org/officeDocument/2006/relationships/theme" Target="theme/theme1.xml"/><Relationship Id="rId10" Type="http://schemas.openxmlformats.org/officeDocument/2006/relationships/image" Target="media/image2.jpeg"/><Relationship Id="rId11" Type="http://schemas.openxmlformats.org/officeDocument/2006/relationships/hyperlink" Target="https://www.topconpositioning.com/en-na/software-solutions/monitoring-software/delta-solutions" TargetMode="External"/><Relationship Id="rId12" Type="http://schemas.openxmlformats.org/officeDocument/2006/relationships/hyperlink" Target="https://www.topconpositioning.com/total-stations/robotic-total-stations/ms-ax-series" TargetMode="External"/><Relationship Id="rId13" Type="http://schemas.openxmlformats.org/officeDocument/2006/relationships/hyperlink" Target="https://www.topconpositioning.com/" TargetMode="External"/><Relationship Id="rId14" Type="http://schemas.openxmlformats.org/officeDocument/2006/relationships/hyperlink" Target="https://www.topconpositioning.com" TargetMode="External"/><Relationship Id="rId15" Type="http://schemas.openxmlformats.org/officeDocument/2006/relationships/hyperlink" Target="http://www.topconpositioning.eu" TargetMode="External"/><Relationship Id="rId16" Type="http://schemas.openxmlformats.org/officeDocument/2006/relationships/hyperlink" Target="http://global.topcon.com/" TargetMode="External"/><Relationship Id="rId17" Type="http://schemas.openxmlformats.org/officeDocument/2006/relationships/hyperlink" Target="mailto:CorpComm@topcon.com" TargetMode="External"/><Relationship Id="rId18" Type="http://schemas.openxmlformats.org/officeDocument/2006/relationships/header" Target="header1.xml"/><Relationship Id="rId19" Type="http://schemas.openxmlformats.org/officeDocument/2006/relationships/header" Target="header2.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s>
</file>

<file path=word/_rels/footer3.xml.rels><?xml version="1.0" encoding="UTF-8" standalone="yes"?>
<Relationships xmlns="http://schemas.openxmlformats.org/package/2006/relationships"><Relationship Id="rId3" Type="http://schemas.openxmlformats.org/officeDocument/2006/relationships/hyperlink" Target="https://www.linkedin.com/company/topcon-positioning-systems" TargetMode="External"/><Relationship Id="rId4" Type="http://schemas.openxmlformats.org/officeDocument/2006/relationships/image" Target="media/image5.jpeg"/><Relationship Id="rId5" Type="http://schemas.openxmlformats.org/officeDocument/2006/relationships/hyperlink" Target="https://twitter.com/topcon_today" TargetMode="External"/><Relationship Id="rId6" Type="http://schemas.openxmlformats.org/officeDocument/2006/relationships/image" Target="media/image6.jpeg"/><Relationship Id="rId7" Type="http://schemas.openxmlformats.org/officeDocument/2006/relationships/hyperlink" Target="https://www.youtube.com/user/TopconToday" TargetMode="External"/><Relationship Id="rId8" Type="http://schemas.openxmlformats.org/officeDocument/2006/relationships/image" Target="media/image7.jpeg"/><Relationship Id="rId9" Type="http://schemas.openxmlformats.org/officeDocument/2006/relationships/hyperlink" Target="https://www.instagram.com/topcontoday/" TargetMode="External"/><Relationship Id="rId10" Type="http://schemas.openxmlformats.org/officeDocument/2006/relationships/image" Target="media/image8.jpeg"/><Relationship Id="rId1" Type="http://schemas.openxmlformats.org/officeDocument/2006/relationships/hyperlink" Target="https://www.facebook.com/TopconToday" TargetMode="External"/><Relationship Id="rId2" Type="http://schemas.openxmlformats.org/officeDocument/2006/relationships/image" Target="media/image4.jpe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0A987DE-B63E-584B-B1E7-7F61E4060AF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1</Pages>
  <Words>530</Words>
  <Characters>3023</Characters>
  <Application>Microsoft Macintosh Word</Application>
  <DocSecurity>0</DocSecurity>
  <Lines>25</Lines>
  <Paragraphs>7</Paragraphs>
  <ScaleCrop>false</ScaleCrop>
  <HeadingPairs>
    <vt:vector size="2" baseType="variant">
      <vt:variant>
        <vt:lpstr>Title</vt:lpstr>
      </vt:variant>
      <vt:variant>
        <vt:i4>1</vt:i4>
      </vt:variant>
    </vt:vector>
  </HeadingPairs>
  <TitlesOfParts>
    <vt:vector size="1" baseType="lpstr">
      <vt:lpstr>TPG Press Release Template</vt:lpstr>
    </vt:vector>
  </TitlesOfParts>
  <Manager>Achiel Sturm</Manager>
  <Company>Topcon Positioning Group</Company>
  <LinksUpToDate>false</LinksUpToDate>
  <CharactersWithSpaces>3546</CharactersWithSpaces>
  <SharedDoc>false</SharedDoc>
  <HyperlinkBase/>
  <HLinks>
    <vt:vector size="24" baseType="variant">
      <vt:variant>
        <vt:i4>5701750</vt:i4>
      </vt:variant>
      <vt:variant>
        <vt:i4>9</vt:i4>
      </vt:variant>
      <vt:variant>
        <vt:i4>0</vt:i4>
      </vt:variant>
      <vt:variant>
        <vt:i4>5</vt:i4>
      </vt:variant>
      <vt:variant>
        <vt:lpwstr>mailto:news@topcon.com</vt:lpwstr>
      </vt:variant>
      <vt:variant>
        <vt:lpwstr/>
      </vt:variant>
      <vt:variant>
        <vt:i4>110</vt:i4>
      </vt:variant>
      <vt:variant>
        <vt:i4>6</vt:i4>
      </vt:variant>
      <vt:variant>
        <vt:i4>0</vt:i4>
      </vt:variant>
      <vt:variant>
        <vt:i4>5</vt:i4>
      </vt:variant>
      <vt:variant>
        <vt:lpwstr>http://global.topcon.com/</vt:lpwstr>
      </vt:variant>
      <vt:variant>
        <vt:lpwstr/>
      </vt:variant>
      <vt:variant>
        <vt:i4>3342342</vt:i4>
      </vt:variant>
      <vt:variant>
        <vt:i4>3</vt:i4>
      </vt:variant>
      <vt:variant>
        <vt:i4>0</vt:i4>
      </vt:variant>
      <vt:variant>
        <vt:i4>5</vt:i4>
      </vt:variant>
      <vt:variant>
        <vt:lpwstr>http://www.topconpositioning.eu</vt:lpwstr>
      </vt:variant>
      <vt:variant>
        <vt:lpwstr/>
      </vt:variant>
      <vt:variant>
        <vt:i4>5767219</vt:i4>
      </vt:variant>
      <vt:variant>
        <vt:i4>0</vt:i4>
      </vt:variant>
      <vt:variant>
        <vt:i4>0</vt:i4>
      </vt:variant>
      <vt:variant>
        <vt:i4>5</vt:i4>
      </vt:variant>
      <vt:variant>
        <vt:lpwstr>http://www.topconpositioning.com/</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TPG Press Release Template</dc:title>
  <dc:subject>This is the press release title</dc:subject>
  <dc:creator>Microsoft account</dc:creator>
  <cp:lastModifiedBy>Lauren Boyett</cp:lastModifiedBy>
  <cp:revision>6</cp:revision>
  <cp:lastPrinted>2015-08-13T12:52:00Z</cp:lastPrinted>
  <dcterms:created xsi:type="dcterms:W3CDTF">2016-10-06T16:10:00Z</dcterms:created>
  <dcterms:modified xsi:type="dcterms:W3CDTF">2016-10-10T19:50:00Z</dcterms:modified>
</cp:coreProperties>
</file>