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49351" w14:textId="77777777" w:rsidR="00926CD0" w:rsidRPr="00926CD0" w:rsidRDefault="00926CD0" w:rsidP="009A0004">
      <w:pPr>
        <w:tabs>
          <w:tab w:val="left" w:pos="270"/>
        </w:tabs>
        <w:jc w:val="center"/>
        <w:rPr>
          <w:rFonts w:ascii="Arial" w:eastAsiaTheme="majorEastAsia" w:hAnsi="Arial" w:cstheme="majorBidi"/>
          <w:b/>
          <w:bCs/>
          <w:color w:val="0079C2"/>
          <w:sz w:val="13"/>
          <w:szCs w:val="36"/>
        </w:rPr>
      </w:pPr>
    </w:p>
    <w:p w14:paraId="40D99527" w14:textId="6B48E624" w:rsidR="009A0004" w:rsidRDefault="00926CD0" w:rsidP="009A0004">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23B811F3" wp14:editId="614BD0AA">
            <wp:extent cx="1110056" cy="1665085"/>
            <wp:effectExtent l="0" t="0" r="7620" b="11430"/>
            <wp:docPr id="9" name="Picture 9" descr="/Volumes/Docs/Publicity/Active/Press Kits for Web Upload/2017/Topcon_Press-kit_ContextCapture/Context_Capture_1_Monitor_Cover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ContextCapture/Context_Capture_1_Monitor_Cover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0056" cy="1665085"/>
                    </a:xfrm>
                    <a:prstGeom prst="rect">
                      <a:avLst/>
                    </a:prstGeom>
                    <a:noFill/>
                    <a:ln>
                      <a:noFill/>
                    </a:ln>
                  </pic:spPr>
                </pic:pic>
              </a:graphicData>
            </a:graphic>
          </wp:inline>
        </w:drawing>
      </w:r>
      <w:r w:rsidR="008C66DC">
        <w:rPr>
          <w:rFonts w:ascii="Arial" w:eastAsiaTheme="majorEastAsia" w:hAnsi="Arial" w:cstheme="majorBidi"/>
          <w:b/>
          <w:bCs/>
          <w:color w:val="0079C2"/>
          <w:sz w:val="36"/>
          <w:szCs w:val="36"/>
        </w:rPr>
        <w:t xml:space="preserve">   </w:t>
      </w:r>
    </w:p>
    <w:p w14:paraId="67F42F1F" w14:textId="77777777" w:rsidR="005B6268" w:rsidRPr="005B6268" w:rsidRDefault="005B6268" w:rsidP="009A0004">
      <w:pPr>
        <w:tabs>
          <w:tab w:val="left" w:pos="270"/>
        </w:tabs>
        <w:jc w:val="center"/>
        <w:rPr>
          <w:rFonts w:ascii="Arial" w:eastAsiaTheme="majorEastAsia" w:hAnsi="Arial" w:cstheme="majorBidi"/>
          <w:b/>
          <w:bCs/>
          <w:color w:val="0079C2"/>
          <w:sz w:val="11"/>
          <w:szCs w:val="36"/>
        </w:rPr>
      </w:pPr>
    </w:p>
    <w:p w14:paraId="2070243A" w14:textId="77777777" w:rsidR="009A0004" w:rsidRPr="009A0004" w:rsidRDefault="009A0004" w:rsidP="009A0004">
      <w:pPr>
        <w:tabs>
          <w:tab w:val="left" w:pos="270"/>
        </w:tabs>
        <w:jc w:val="center"/>
        <w:rPr>
          <w:rFonts w:ascii="Arial" w:eastAsiaTheme="majorEastAsia" w:hAnsi="Arial" w:cstheme="majorBidi"/>
          <w:b/>
          <w:bCs/>
          <w:color w:val="0079C2"/>
          <w:sz w:val="12"/>
          <w:szCs w:val="36"/>
        </w:rPr>
      </w:pPr>
    </w:p>
    <w:p w14:paraId="77834DD4" w14:textId="6B682BBA" w:rsidR="00411E24" w:rsidRPr="00977F94" w:rsidRDefault="00411E24" w:rsidP="00411E24">
      <w:pPr>
        <w:tabs>
          <w:tab w:val="left" w:pos="270"/>
        </w:tabs>
        <w:jc w:val="center"/>
        <w:rPr>
          <w:rFonts w:ascii="Arial" w:eastAsiaTheme="majorEastAsia" w:hAnsi="Arial" w:cstheme="majorBidi"/>
          <w:b/>
          <w:bCs/>
          <w:color w:val="0079C2"/>
          <w:sz w:val="36"/>
          <w:szCs w:val="36"/>
        </w:rPr>
      </w:pPr>
      <w:r w:rsidRPr="00977F94">
        <w:rPr>
          <w:rFonts w:ascii="Arial" w:eastAsiaTheme="majorEastAsia" w:hAnsi="Arial" w:cstheme="majorBidi"/>
          <w:b/>
          <w:bCs/>
          <w:color w:val="0079C2"/>
          <w:sz w:val="36"/>
          <w:szCs w:val="36"/>
        </w:rPr>
        <w:t>Topcon announces agreement to bundle Bentley reality modeling software with UAS software solutions</w:t>
      </w:r>
    </w:p>
    <w:p w14:paraId="56EA2927" w14:textId="1BA97DFB" w:rsidR="00053852" w:rsidRPr="005B6268" w:rsidRDefault="00053852" w:rsidP="008C66DC">
      <w:pPr>
        <w:tabs>
          <w:tab w:val="left" w:pos="270"/>
        </w:tabs>
        <w:jc w:val="center"/>
        <w:rPr>
          <w:rFonts w:ascii="Arial" w:eastAsiaTheme="majorEastAsia" w:hAnsi="Arial" w:cstheme="majorBidi"/>
          <w:b/>
          <w:bCs/>
          <w:i/>
          <w:color w:val="0079C2"/>
          <w:szCs w:val="36"/>
        </w:rPr>
      </w:pPr>
    </w:p>
    <w:p w14:paraId="55022951" w14:textId="69A43D02" w:rsidR="00411E24" w:rsidRPr="00977F94" w:rsidRDefault="00926CD0" w:rsidP="00411E24">
      <w:pPr>
        <w:tabs>
          <w:tab w:val="left" w:pos="270"/>
        </w:tabs>
        <w:rPr>
          <w:rFonts w:ascii="Arial" w:hAnsi="Arial"/>
          <w:color w:val="000000"/>
          <w:sz w:val="21"/>
          <w:szCs w:val="20"/>
        </w:rPr>
      </w:pPr>
      <w:r w:rsidRPr="00977F94">
        <w:rPr>
          <w:rFonts w:ascii="Arial" w:hAnsi="Arial" w:cs="Arial"/>
          <w:i/>
          <w:sz w:val="21"/>
        </w:rPr>
        <w:t xml:space="preserve">LIVERMORE, Calif., USA/ CAPELLE A/D IJSSEL, The Netherlands </w:t>
      </w:r>
      <w:r w:rsidRPr="00977F94">
        <w:rPr>
          <w:rFonts w:ascii="Arial" w:hAnsi="Arial"/>
          <w:i/>
          <w:color w:val="000000"/>
          <w:sz w:val="21"/>
          <w:szCs w:val="20"/>
        </w:rPr>
        <w:t>–</w:t>
      </w:r>
      <w:r w:rsidR="006D45B6">
        <w:rPr>
          <w:rFonts w:ascii="Arial" w:hAnsi="Arial"/>
          <w:i/>
          <w:color w:val="000000"/>
          <w:sz w:val="21"/>
          <w:szCs w:val="20"/>
        </w:rPr>
        <w:t xml:space="preserve"> </w:t>
      </w:r>
      <w:r w:rsidR="00194EC5" w:rsidRPr="00194EC5">
        <w:rPr>
          <w:rFonts w:ascii="Arial" w:hAnsi="Arial"/>
          <w:i/>
          <w:color w:val="000000"/>
          <w:sz w:val="21"/>
          <w:szCs w:val="20"/>
        </w:rPr>
        <w:t xml:space="preserve">March 7, 2017 </w:t>
      </w:r>
      <w:r w:rsidR="006D45B6">
        <w:rPr>
          <w:rFonts w:ascii="Arial" w:hAnsi="Arial"/>
          <w:i/>
          <w:color w:val="000000"/>
          <w:sz w:val="21"/>
          <w:szCs w:val="20"/>
        </w:rPr>
        <w:t>–</w:t>
      </w:r>
      <w:r w:rsidRPr="00977F94">
        <w:rPr>
          <w:rFonts w:ascii="Arial" w:hAnsi="Arial"/>
          <w:i/>
          <w:color w:val="000000"/>
          <w:sz w:val="21"/>
          <w:szCs w:val="20"/>
        </w:rPr>
        <w:t xml:space="preserve"> </w:t>
      </w:r>
      <w:r w:rsidR="00411E24" w:rsidRPr="00977F94">
        <w:rPr>
          <w:rFonts w:ascii="Arial" w:hAnsi="Arial"/>
          <w:color w:val="000000"/>
          <w:sz w:val="21"/>
          <w:szCs w:val="20"/>
        </w:rPr>
        <w:t xml:space="preserve">Topcon Positioning Group introduces Topcon </w:t>
      </w:r>
      <w:proofErr w:type="spellStart"/>
      <w:r w:rsidR="00411E24" w:rsidRPr="00977F94">
        <w:rPr>
          <w:rFonts w:ascii="Arial" w:hAnsi="Arial"/>
          <w:color w:val="000000"/>
          <w:sz w:val="21"/>
          <w:szCs w:val="20"/>
        </w:rPr>
        <w:t>ContextCapture</w:t>
      </w:r>
      <w:proofErr w:type="spellEnd"/>
      <w:r w:rsidR="00411E24" w:rsidRPr="00977F94">
        <w:rPr>
          <w:rFonts w:ascii="Arial" w:hAnsi="Arial"/>
          <w:color w:val="000000"/>
          <w:sz w:val="21"/>
          <w:szCs w:val="20"/>
        </w:rPr>
        <w:t xml:space="preserve">, powered by Bentley Systems, a reality modeling software solution that will be offered with Topcon UAS (unmanned aerial systems). The </w:t>
      </w:r>
      <w:bookmarkStart w:id="0" w:name="_GoBack"/>
      <w:bookmarkEnd w:id="0"/>
      <w:r w:rsidR="00411E24" w:rsidRPr="00977F94">
        <w:rPr>
          <w:rFonts w:ascii="Arial" w:hAnsi="Arial"/>
          <w:color w:val="000000"/>
          <w:sz w:val="21"/>
          <w:szCs w:val="20"/>
        </w:rPr>
        <w:t>system is designed for mapping, construction and surveying professionals to quickly turn simple photographs and/or point</w:t>
      </w:r>
      <w:r w:rsidR="006D45B6">
        <w:rPr>
          <w:rFonts w:ascii="Arial" w:hAnsi="Arial"/>
          <w:color w:val="000000"/>
          <w:sz w:val="21"/>
          <w:szCs w:val="20"/>
        </w:rPr>
        <w:t xml:space="preserve"> </w:t>
      </w:r>
      <w:r w:rsidR="00411E24" w:rsidRPr="00977F94">
        <w:rPr>
          <w:rFonts w:ascii="Arial" w:hAnsi="Arial"/>
          <w:color w:val="000000"/>
          <w:sz w:val="21"/>
          <w:szCs w:val="20"/>
        </w:rPr>
        <w:t>cloud data into true-to-life, highly detailed 3D models for use throughout a project lifecycle.</w:t>
      </w:r>
    </w:p>
    <w:p w14:paraId="4EF7FDB0" w14:textId="77777777" w:rsidR="00411E24" w:rsidRPr="00977F94" w:rsidRDefault="00411E24" w:rsidP="00411E24">
      <w:pPr>
        <w:tabs>
          <w:tab w:val="left" w:pos="270"/>
        </w:tabs>
        <w:rPr>
          <w:rFonts w:ascii="Arial" w:hAnsi="Arial"/>
          <w:color w:val="000000"/>
          <w:sz w:val="21"/>
          <w:szCs w:val="20"/>
        </w:rPr>
      </w:pPr>
    </w:p>
    <w:p w14:paraId="1ACC2D0B" w14:textId="77777777" w:rsidR="00411E24" w:rsidRPr="00977F94" w:rsidRDefault="00411E24" w:rsidP="00411E24">
      <w:pPr>
        <w:tabs>
          <w:tab w:val="left" w:pos="270"/>
        </w:tabs>
        <w:rPr>
          <w:rFonts w:ascii="Arial" w:hAnsi="Arial"/>
          <w:color w:val="000000"/>
          <w:sz w:val="21"/>
          <w:szCs w:val="20"/>
        </w:rPr>
      </w:pPr>
      <w:r w:rsidRPr="00977F94">
        <w:rPr>
          <w:rFonts w:ascii="Arial" w:hAnsi="Arial"/>
          <w:color w:val="000000"/>
          <w:sz w:val="21"/>
          <w:szCs w:val="20"/>
        </w:rPr>
        <w:t xml:space="preserve">“The offering will include Topcon </w:t>
      </w:r>
      <w:proofErr w:type="spellStart"/>
      <w:r w:rsidRPr="00977F94">
        <w:rPr>
          <w:rFonts w:ascii="Arial" w:hAnsi="Arial"/>
          <w:color w:val="000000"/>
          <w:sz w:val="21"/>
          <w:szCs w:val="20"/>
        </w:rPr>
        <w:t>ContextCapture</w:t>
      </w:r>
      <w:proofErr w:type="spellEnd"/>
      <w:r w:rsidRPr="00977F94">
        <w:rPr>
          <w:rFonts w:ascii="Arial" w:hAnsi="Arial"/>
          <w:color w:val="000000"/>
          <w:sz w:val="21"/>
          <w:szCs w:val="20"/>
        </w:rPr>
        <w:t xml:space="preserve"> Standard and Topcon </w:t>
      </w:r>
      <w:proofErr w:type="spellStart"/>
      <w:r w:rsidRPr="00977F94">
        <w:rPr>
          <w:rFonts w:ascii="Arial" w:hAnsi="Arial"/>
          <w:color w:val="000000"/>
          <w:sz w:val="21"/>
          <w:szCs w:val="20"/>
        </w:rPr>
        <w:t>ContextCapture</w:t>
      </w:r>
      <w:proofErr w:type="spellEnd"/>
      <w:r w:rsidRPr="00977F94">
        <w:rPr>
          <w:rFonts w:ascii="Arial" w:hAnsi="Arial"/>
          <w:color w:val="000000"/>
          <w:sz w:val="21"/>
          <w:szCs w:val="20"/>
        </w:rPr>
        <w:t xml:space="preserve"> Advanced,” said Charles </w:t>
      </w:r>
      <w:proofErr w:type="spellStart"/>
      <w:r w:rsidRPr="00977F94">
        <w:rPr>
          <w:rFonts w:ascii="Arial" w:hAnsi="Arial"/>
          <w:color w:val="000000"/>
          <w:sz w:val="21"/>
          <w:szCs w:val="20"/>
        </w:rPr>
        <w:t>Rihner</w:t>
      </w:r>
      <w:proofErr w:type="spellEnd"/>
      <w:r w:rsidRPr="00977F94">
        <w:rPr>
          <w:rFonts w:ascii="Arial" w:hAnsi="Arial"/>
          <w:color w:val="000000"/>
          <w:sz w:val="21"/>
          <w:szCs w:val="20"/>
        </w:rPr>
        <w:t xml:space="preserve">, vice president of the Topcon </w:t>
      </w:r>
      <w:proofErr w:type="spellStart"/>
      <w:r w:rsidRPr="00977F94">
        <w:rPr>
          <w:rFonts w:ascii="Arial" w:hAnsi="Arial"/>
          <w:color w:val="000000"/>
          <w:sz w:val="21"/>
          <w:szCs w:val="20"/>
        </w:rPr>
        <w:t>GeoPositioning</w:t>
      </w:r>
      <w:proofErr w:type="spellEnd"/>
      <w:r w:rsidRPr="00977F94">
        <w:rPr>
          <w:rFonts w:ascii="Arial" w:hAnsi="Arial"/>
          <w:color w:val="000000"/>
          <w:sz w:val="21"/>
          <w:szCs w:val="20"/>
        </w:rPr>
        <w:t xml:space="preserve"> Solutions Group. “The standard package will be bundled with Falcon 8 and Sirius Basic/Pro and allows operators to process data from these UAS into textured 3D reality meshes, point clouds and </w:t>
      </w:r>
      <w:proofErr w:type="spellStart"/>
      <w:r w:rsidRPr="00977F94">
        <w:rPr>
          <w:rFonts w:ascii="Arial" w:hAnsi="Arial"/>
          <w:color w:val="000000"/>
          <w:sz w:val="21"/>
          <w:szCs w:val="20"/>
        </w:rPr>
        <w:t>orthophotos</w:t>
      </w:r>
      <w:proofErr w:type="spellEnd"/>
      <w:r w:rsidRPr="00977F94">
        <w:rPr>
          <w:rFonts w:ascii="Arial" w:hAnsi="Arial"/>
          <w:color w:val="000000"/>
          <w:sz w:val="21"/>
          <w:szCs w:val="20"/>
        </w:rPr>
        <w:t xml:space="preserve">. </w:t>
      </w:r>
      <w:proofErr w:type="spellStart"/>
      <w:r w:rsidRPr="00977F94">
        <w:rPr>
          <w:rFonts w:ascii="Arial" w:hAnsi="Arial"/>
          <w:color w:val="000000"/>
          <w:sz w:val="21"/>
          <w:szCs w:val="20"/>
        </w:rPr>
        <w:t>ContextCapture</w:t>
      </w:r>
      <w:proofErr w:type="spellEnd"/>
      <w:r w:rsidRPr="00977F94">
        <w:rPr>
          <w:rFonts w:ascii="Arial" w:hAnsi="Arial"/>
          <w:color w:val="000000"/>
          <w:sz w:val="21"/>
          <w:szCs w:val="20"/>
        </w:rPr>
        <w:t xml:space="preserve"> Advanced allows users to process data from any UAS. It also includes </w:t>
      </w:r>
      <w:proofErr w:type="spellStart"/>
      <w:r w:rsidRPr="00977F94">
        <w:rPr>
          <w:rFonts w:ascii="Arial" w:hAnsi="Arial"/>
          <w:color w:val="000000"/>
          <w:sz w:val="21"/>
          <w:szCs w:val="20"/>
        </w:rPr>
        <w:t>ContextCapture</w:t>
      </w:r>
      <w:proofErr w:type="spellEnd"/>
      <w:r w:rsidRPr="00977F94">
        <w:rPr>
          <w:rFonts w:ascii="Arial" w:hAnsi="Arial"/>
          <w:color w:val="000000"/>
          <w:sz w:val="21"/>
          <w:szCs w:val="20"/>
        </w:rPr>
        <w:t xml:space="preserve"> Editor, which enables operators to take advantage of all project data by integrating reality meshes and point clouds, into infrastructure workflows. The result is access to a wide variety of reality modeling tools to help increase productivity.”</w:t>
      </w:r>
    </w:p>
    <w:p w14:paraId="25E8CC40" w14:textId="77777777" w:rsidR="00411E24" w:rsidRPr="00977F94" w:rsidRDefault="00411E24" w:rsidP="00411E24">
      <w:pPr>
        <w:tabs>
          <w:tab w:val="left" w:pos="270"/>
        </w:tabs>
        <w:rPr>
          <w:rFonts w:ascii="Arial" w:hAnsi="Arial"/>
          <w:color w:val="000000"/>
          <w:sz w:val="21"/>
          <w:szCs w:val="20"/>
        </w:rPr>
      </w:pPr>
    </w:p>
    <w:p w14:paraId="6EF07123" w14:textId="77777777" w:rsidR="00411E24" w:rsidRPr="00977F94" w:rsidRDefault="00411E24" w:rsidP="00411E24">
      <w:pPr>
        <w:tabs>
          <w:tab w:val="left" w:pos="270"/>
        </w:tabs>
        <w:rPr>
          <w:rFonts w:ascii="Arial" w:hAnsi="Arial"/>
          <w:color w:val="000000"/>
          <w:sz w:val="21"/>
          <w:szCs w:val="20"/>
        </w:rPr>
      </w:pPr>
      <w:r w:rsidRPr="00977F94">
        <w:rPr>
          <w:rFonts w:ascii="Arial" w:hAnsi="Arial"/>
          <w:color w:val="000000"/>
          <w:sz w:val="21"/>
          <w:szCs w:val="20"/>
        </w:rPr>
        <w:t xml:space="preserve">The </w:t>
      </w:r>
      <w:proofErr w:type="spellStart"/>
      <w:r w:rsidRPr="00977F94">
        <w:rPr>
          <w:rFonts w:ascii="Arial" w:hAnsi="Arial"/>
          <w:color w:val="000000"/>
          <w:sz w:val="21"/>
          <w:szCs w:val="20"/>
        </w:rPr>
        <w:t>ContextCapture</w:t>
      </w:r>
      <w:proofErr w:type="spellEnd"/>
      <w:r w:rsidRPr="00977F94">
        <w:rPr>
          <w:rFonts w:ascii="Arial" w:hAnsi="Arial"/>
          <w:color w:val="000000"/>
          <w:sz w:val="21"/>
          <w:szCs w:val="20"/>
        </w:rPr>
        <w:t xml:space="preserve"> Advanced integration includes CAD, inspection, GIS, civil engineering, and survey workflows on desktop and mobile devices, in multiple formats. </w:t>
      </w:r>
    </w:p>
    <w:p w14:paraId="19314D45" w14:textId="77777777" w:rsidR="00411E24" w:rsidRPr="00977F94" w:rsidRDefault="00411E24" w:rsidP="00411E24">
      <w:pPr>
        <w:tabs>
          <w:tab w:val="left" w:pos="270"/>
        </w:tabs>
        <w:rPr>
          <w:rFonts w:ascii="Arial" w:hAnsi="Arial"/>
          <w:color w:val="000000"/>
          <w:sz w:val="21"/>
          <w:szCs w:val="20"/>
        </w:rPr>
      </w:pPr>
    </w:p>
    <w:p w14:paraId="136E05CB" w14:textId="600E6408" w:rsidR="00411E24" w:rsidRPr="00977F94" w:rsidRDefault="00411E24" w:rsidP="00411E24">
      <w:pPr>
        <w:tabs>
          <w:tab w:val="left" w:pos="270"/>
        </w:tabs>
        <w:rPr>
          <w:rFonts w:ascii="Arial" w:hAnsi="Arial"/>
          <w:bCs/>
          <w:color w:val="000000"/>
          <w:sz w:val="21"/>
          <w:szCs w:val="20"/>
        </w:rPr>
      </w:pPr>
      <w:r w:rsidRPr="00977F94">
        <w:rPr>
          <w:rFonts w:ascii="Arial" w:hAnsi="Arial"/>
          <w:color w:val="000000"/>
          <w:sz w:val="21"/>
          <w:szCs w:val="20"/>
        </w:rPr>
        <w:t xml:space="preserve">“This represents the next step in the Topcon and Bentley collaboration to advance the concept of </w:t>
      </w:r>
      <w:proofErr w:type="spellStart"/>
      <w:r w:rsidRPr="00977F94">
        <w:rPr>
          <w:rFonts w:ascii="Arial" w:hAnsi="Arial"/>
          <w:color w:val="000000"/>
          <w:sz w:val="21"/>
          <w:szCs w:val="20"/>
        </w:rPr>
        <w:t>constructioneering</w:t>
      </w:r>
      <w:proofErr w:type="spellEnd"/>
      <w:r w:rsidRPr="00977F94">
        <w:rPr>
          <w:rFonts w:ascii="Arial" w:hAnsi="Arial"/>
          <w:color w:val="000000"/>
          <w:sz w:val="21"/>
          <w:szCs w:val="20"/>
        </w:rPr>
        <w:t xml:space="preserve"> — allowing </w:t>
      </w:r>
      <w:r w:rsidRPr="00977F94">
        <w:rPr>
          <w:rFonts w:ascii="Arial" w:hAnsi="Arial"/>
          <w:bCs/>
          <w:color w:val="000000"/>
          <w:sz w:val="21"/>
          <w:szCs w:val="20"/>
        </w:rPr>
        <w:t xml:space="preserve">users to start from a reality-captured survey context and leverage and update their digital engineering models throughout the construction process, </w:t>
      </w:r>
      <w:r w:rsidR="00144C30" w:rsidRPr="00977F94">
        <w:rPr>
          <w:rFonts w:ascii="Arial" w:hAnsi="Arial"/>
          <w:bCs/>
          <w:color w:val="000000"/>
          <w:sz w:val="21"/>
          <w:szCs w:val="20"/>
        </w:rPr>
        <w:t>and finally deliver the as-built</w:t>
      </w:r>
      <w:r w:rsidRPr="00977F94">
        <w:rPr>
          <w:rFonts w:ascii="Arial" w:hAnsi="Arial"/>
          <w:bCs/>
          <w:color w:val="000000"/>
          <w:sz w:val="21"/>
          <w:szCs w:val="20"/>
        </w:rPr>
        <w:t xml:space="preserve"> infrastructure in real time,” said </w:t>
      </w:r>
      <w:proofErr w:type="spellStart"/>
      <w:r w:rsidRPr="00977F94">
        <w:rPr>
          <w:rFonts w:ascii="Arial" w:hAnsi="Arial"/>
          <w:bCs/>
          <w:color w:val="000000"/>
          <w:sz w:val="21"/>
          <w:szCs w:val="20"/>
        </w:rPr>
        <w:t>Rihner</w:t>
      </w:r>
      <w:proofErr w:type="spellEnd"/>
      <w:r w:rsidRPr="00977F94">
        <w:rPr>
          <w:rFonts w:ascii="Arial" w:hAnsi="Arial"/>
          <w:bCs/>
          <w:color w:val="000000"/>
          <w:sz w:val="21"/>
          <w:szCs w:val="20"/>
        </w:rPr>
        <w:t xml:space="preserve">. </w:t>
      </w:r>
    </w:p>
    <w:p w14:paraId="7EE0F949" w14:textId="77777777" w:rsidR="00411E24" w:rsidRPr="00977F94" w:rsidRDefault="00411E24" w:rsidP="00411E24">
      <w:pPr>
        <w:tabs>
          <w:tab w:val="left" w:pos="270"/>
        </w:tabs>
        <w:rPr>
          <w:rFonts w:ascii="Arial" w:hAnsi="Arial"/>
          <w:bCs/>
          <w:color w:val="000000"/>
          <w:sz w:val="21"/>
          <w:szCs w:val="20"/>
        </w:rPr>
      </w:pPr>
    </w:p>
    <w:p w14:paraId="53209670" w14:textId="33D993FD" w:rsidR="00926CD0" w:rsidRDefault="00411E24" w:rsidP="00411E24">
      <w:pPr>
        <w:tabs>
          <w:tab w:val="left" w:pos="270"/>
        </w:tabs>
        <w:rPr>
          <w:rFonts w:ascii="Arial" w:hAnsi="Arial"/>
          <w:color w:val="000000"/>
          <w:sz w:val="21"/>
          <w:szCs w:val="20"/>
        </w:rPr>
      </w:pPr>
      <w:r w:rsidRPr="00977F94">
        <w:rPr>
          <w:rFonts w:ascii="Arial" w:hAnsi="Arial"/>
          <w:color w:val="000000"/>
          <w:sz w:val="21"/>
          <w:szCs w:val="20"/>
        </w:rPr>
        <w:t xml:space="preserve">Phil Christensen, Bentley vice president, reality modeling, said, “We are excited to bring to market this new joint offering that enables greater efficiency and productivity in the global construction market. Our reality modeling solution for mapping, construction, and surveying professionals will enable them to quickly turn UAS imagery into engineering-ready 3D reality models that can be used immediately and updated throughout the construction lifecycle. Since we announced our </w:t>
      </w:r>
      <w:proofErr w:type="spellStart"/>
      <w:r w:rsidRPr="00977F94">
        <w:rPr>
          <w:rFonts w:ascii="Arial" w:hAnsi="Arial"/>
          <w:color w:val="000000"/>
          <w:sz w:val="21"/>
          <w:szCs w:val="20"/>
        </w:rPr>
        <w:t>constructioneering</w:t>
      </w:r>
      <w:proofErr w:type="spellEnd"/>
      <w:r w:rsidRPr="00977F94">
        <w:rPr>
          <w:rFonts w:ascii="Arial" w:hAnsi="Arial"/>
          <w:color w:val="000000"/>
          <w:sz w:val="21"/>
          <w:szCs w:val="20"/>
        </w:rPr>
        <w:t xml:space="preserve"> partnership last November, we see this as only one of many new integrations between Bentley and Topcon that will enable better project outcomes.” </w:t>
      </w:r>
    </w:p>
    <w:p w14:paraId="3D0F30AB" w14:textId="77777777" w:rsidR="00977F94" w:rsidRDefault="00977F94" w:rsidP="00411E24">
      <w:pPr>
        <w:tabs>
          <w:tab w:val="left" w:pos="270"/>
        </w:tabs>
        <w:rPr>
          <w:rFonts w:ascii="Arial" w:hAnsi="Arial"/>
          <w:color w:val="000000"/>
          <w:sz w:val="21"/>
          <w:szCs w:val="20"/>
        </w:rPr>
      </w:pPr>
    </w:p>
    <w:p w14:paraId="0ACAEF35" w14:textId="77777777" w:rsidR="00977F94" w:rsidRDefault="00977F94" w:rsidP="00411E24">
      <w:pPr>
        <w:tabs>
          <w:tab w:val="left" w:pos="270"/>
        </w:tabs>
        <w:rPr>
          <w:rFonts w:ascii="Arial" w:hAnsi="Arial"/>
          <w:color w:val="000000"/>
          <w:sz w:val="21"/>
          <w:szCs w:val="20"/>
        </w:rPr>
      </w:pPr>
    </w:p>
    <w:p w14:paraId="6FEC0C83" w14:textId="646D6D2C" w:rsidR="009A0004" w:rsidRDefault="009A0004" w:rsidP="00411E24">
      <w:pPr>
        <w:tabs>
          <w:tab w:val="left" w:pos="270"/>
        </w:tabs>
        <w:rPr>
          <w:rFonts w:ascii="Arial" w:hAnsi="Arial"/>
          <w:color w:val="000000"/>
          <w:sz w:val="21"/>
          <w:szCs w:val="20"/>
        </w:rPr>
      </w:pPr>
    </w:p>
    <w:p w14:paraId="21ABD15F" w14:textId="77777777" w:rsidR="00977F94" w:rsidRPr="008C66DC" w:rsidRDefault="00977F94" w:rsidP="00411E24">
      <w:pPr>
        <w:tabs>
          <w:tab w:val="left" w:pos="270"/>
        </w:tabs>
        <w:rPr>
          <w:rFonts w:ascii="Arial" w:hAnsi="Arial"/>
          <w:color w:val="000000"/>
          <w:szCs w:val="20"/>
        </w:rPr>
      </w:pPr>
    </w:p>
    <w:p w14:paraId="495923CD" w14:textId="0BCAC331" w:rsidR="00594377" w:rsidRPr="00977F94" w:rsidRDefault="001855FB" w:rsidP="00594377">
      <w:pPr>
        <w:tabs>
          <w:tab w:val="left" w:pos="270"/>
        </w:tabs>
        <w:rPr>
          <w:rFonts w:ascii="Arial" w:hAnsi="Arial"/>
          <w:b/>
          <w:color w:val="808080" w:themeColor="background1" w:themeShade="80"/>
          <w:sz w:val="16"/>
          <w:szCs w:val="20"/>
        </w:rPr>
      </w:pPr>
      <w:r w:rsidRPr="00977F94">
        <w:rPr>
          <w:rFonts w:ascii="Arial" w:hAnsi="Arial"/>
          <w:b/>
          <w:color w:val="808080" w:themeColor="background1" w:themeShade="80"/>
          <w:sz w:val="16"/>
          <w:szCs w:val="20"/>
        </w:rPr>
        <w:t xml:space="preserve">About Topcon </w:t>
      </w:r>
      <w:r w:rsidR="006829E3" w:rsidRPr="00977F94">
        <w:rPr>
          <w:rFonts w:ascii="Arial" w:hAnsi="Arial"/>
          <w:b/>
          <w:color w:val="808080" w:themeColor="background1" w:themeShade="80"/>
          <w:sz w:val="16"/>
          <w:szCs w:val="20"/>
        </w:rPr>
        <w:t xml:space="preserve">Positioning </w:t>
      </w:r>
      <w:r w:rsidRPr="00977F94">
        <w:rPr>
          <w:rFonts w:ascii="Arial" w:hAnsi="Arial"/>
          <w:b/>
          <w:color w:val="808080" w:themeColor="background1" w:themeShade="80"/>
          <w:sz w:val="16"/>
          <w:szCs w:val="20"/>
        </w:rPr>
        <w:t>Gr</w:t>
      </w:r>
      <w:r w:rsidR="00DC59E3" w:rsidRPr="00977F94">
        <w:rPr>
          <w:rFonts w:ascii="Arial" w:hAnsi="Arial"/>
          <w:b/>
          <w:color w:val="808080" w:themeColor="background1" w:themeShade="80"/>
          <w:sz w:val="16"/>
          <w:szCs w:val="20"/>
        </w:rPr>
        <w:t>oup</w:t>
      </w:r>
      <w:r w:rsidR="00DC59E3" w:rsidRPr="00977F94">
        <w:rPr>
          <w:rFonts w:ascii="Arial" w:eastAsiaTheme="minorEastAsia" w:hAnsi="Arial" w:cs="Arial"/>
          <w:b/>
          <w:sz w:val="16"/>
          <w:szCs w:val="20"/>
          <w:lang w:eastAsia="ja-JP"/>
        </w:rPr>
        <w:t xml:space="preserve"> </w:t>
      </w:r>
    </w:p>
    <w:p w14:paraId="43051C71"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Topcon Positioning Group is headquartered in Livermore, California, USA (</w:t>
      </w:r>
      <w:hyperlink r:id="rId9" w:history="1">
        <w:r w:rsidRPr="00977F94">
          <w:rPr>
            <w:rStyle w:val="Hyperlink"/>
            <w:rFonts w:ascii="Arial" w:hAnsi="Arial"/>
            <w:sz w:val="16"/>
            <w:szCs w:val="20"/>
          </w:rPr>
          <w:t>topconpositioning.com</w:t>
        </w:r>
      </w:hyperlink>
      <w:r w:rsidRPr="00977F94">
        <w:rPr>
          <w:rFonts w:ascii="Arial" w:hAnsi="Arial"/>
          <w:color w:val="808080" w:themeColor="background1" w:themeShade="80"/>
          <w:sz w:val="16"/>
          <w:szCs w:val="20"/>
        </w:rPr>
        <w:t xml:space="preserve">). Its European head office is in </w:t>
      </w:r>
      <w:proofErr w:type="spellStart"/>
      <w:r w:rsidRPr="00977F94">
        <w:rPr>
          <w:rFonts w:ascii="Arial" w:hAnsi="Arial"/>
          <w:color w:val="808080" w:themeColor="background1" w:themeShade="80"/>
          <w:sz w:val="16"/>
          <w:szCs w:val="20"/>
        </w:rPr>
        <w:t>Capelle</w:t>
      </w:r>
      <w:proofErr w:type="spellEnd"/>
      <w:r w:rsidRPr="00977F94">
        <w:rPr>
          <w:rFonts w:ascii="Arial" w:hAnsi="Arial"/>
          <w:color w:val="808080" w:themeColor="background1" w:themeShade="80"/>
          <w:sz w:val="16"/>
          <w:szCs w:val="20"/>
        </w:rPr>
        <w:t xml:space="preserve"> </w:t>
      </w:r>
      <w:proofErr w:type="spellStart"/>
      <w:r w:rsidRPr="00977F94">
        <w:rPr>
          <w:rFonts w:ascii="Arial" w:hAnsi="Arial"/>
          <w:color w:val="808080" w:themeColor="background1" w:themeShade="80"/>
          <w:sz w:val="16"/>
          <w:szCs w:val="20"/>
        </w:rPr>
        <w:t>a/d</w:t>
      </w:r>
      <w:proofErr w:type="spellEnd"/>
      <w:r w:rsidRPr="00977F94">
        <w:rPr>
          <w:rFonts w:ascii="Arial" w:hAnsi="Arial"/>
          <w:color w:val="808080" w:themeColor="background1" w:themeShade="80"/>
          <w:sz w:val="16"/>
          <w:szCs w:val="20"/>
        </w:rPr>
        <w:t xml:space="preserve"> </w:t>
      </w:r>
      <w:proofErr w:type="spellStart"/>
      <w:r w:rsidRPr="00977F94">
        <w:rPr>
          <w:rFonts w:ascii="Arial" w:hAnsi="Arial"/>
          <w:color w:val="808080" w:themeColor="background1" w:themeShade="80"/>
          <w:sz w:val="16"/>
          <w:szCs w:val="20"/>
        </w:rPr>
        <w:t>IJssel</w:t>
      </w:r>
      <w:proofErr w:type="spellEnd"/>
      <w:r w:rsidRPr="00977F94">
        <w:rPr>
          <w:rFonts w:ascii="Arial" w:hAnsi="Arial"/>
          <w:color w:val="808080" w:themeColor="background1" w:themeShade="80"/>
          <w:sz w:val="16"/>
          <w:szCs w:val="20"/>
        </w:rPr>
        <w:t>, the Netherlands (</w:t>
      </w:r>
      <w:hyperlink r:id="rId10" w:history="1">
        <w:r w:rsidRPr="00977F94">
          <w:rPr>
            <w:rStyle w:val="Hyperlink"/>
            <w:rFonts w:ascii="Arial" w:hAnsi="Arial"/>
            <w:sz w:val="16"/>
            <w:szCs w:val="20"/>
          </w:rPr>
          <w:t>topconpositioning.eu</w:t>
        </w:r>
      </w:hyperlink>
      <w:r w:rsidRPr="00977F94">
        <w:rPr>
          <w:rFonts w:ascii="Arial" w:hAnsi="Arial"/>
          <w:color w:val="808080" w:themeColor="background1" w:themeShade="80"/>
          <w:sz w:val="16"/>
          <w:szCs w:val="20"/>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977F94">
        <w:rPr>
          <w:rFonts w:ascii="Arial" w:hAnsi="Arial"/>
          <w:color w:val="808080" w:themeColor="background1" w:themeShade="80"/>
          <w:sz w:val="16"/>
          <w:szCs w:val="20"/>
        </w:rPr>
        <w:t>Wachendorff</w:t>
      </w:r>
      <w:proofErr w:type="spellEnd"/>
      <w:r w:rsidRPr="00977F94">
        <w:rPr>
          <w:rFonts w:ascii="Arial" w:hAnsi="Arial"/>
          <w:color w:val="808080" w:themeColor="background1" w:themeShade="80"/>
          <w:sz w:val="16"/>
          <w:szCs w:val="20"/>
        </w:rPr>
        <w:t xml:space="preserve"> </w:t>
      </w:r>
      <w:proofErr w:type="spellStart"/>
      <w:r w:rsidRPr="00977F94">
        <w:rPr>
          <w:rFonts w:ascii="Arial" w:hAnsi="Arial"/>
          <w:color w:val="808080" w:themeColor="background1" w:themeShade="80"/>
          <w:sz w:val="16"/>
          <w:szCs w:val="20"/>
        </w:rPr>
        <w:t>Elektronik</w:t>
      </w:r>
      <w:proofErr w:type="spellEnd"/>
      <w:r w:rsidRPr="00977F94">
        <w:rPr>
          <w:rFonts w:ascii="Arial" w:hAnsi="Arial"/>
          <w:color w:val="808080" w:themeColor="background1" w:themeShade="80"/>
          <w:sz w:val="16"/>
          <w:szCs w:val="20"/>
        </w:rPr>
        <w:t>, Digi-Star, RDS Technology, and NORAC. Topcon Corporation (</w:t>
      </w:r>
      <w:hyperlink r:id="rId11" w:history="1">
        <w:r w:rsidRPr="00977F94">
          <w:rPr>
            <w:rStyle w:val="Hyperlink"/>
            <w:rFonts w:ascii="Arial" w:hAnsi="Arial"/>
            <w:sz w:val="16"/>
            <w:szCs w:val="20"/>
          </w:rPr>
          <w:t>topcon.com</w:t>
        </w:r>
      </w:hyperlink>
      <w:r w:rsidRPr="00977F94">
        <w:rPr>
          <w:rFonts w:ascii="Arial" w:hAnsi="Arial"/>
          <w:color w:val="808080" w:themeColor="background1" w:themeShade="80"/>
          <w:sz w:val="16"/>
          <w:szCs w:val="20"/>
        </w:rPr>
        <w:t>), founded in 1932, is traded on the Tokyo Stock Exchange (7732). </w:t>
      </w:r>
    </w:p>
    <w:p w14:paraId="2AD54FB0" w14:textId="77777777" w:rsidR="00411E24" w:rsidRPr="00977F94" w:rsidRDefault="00411E24" w:rsidP="00411E24">
      <w:pPr>
        <w:tabs>
          <w:tab w:val="left" w:pos="270"/>
        </w:tabs>
        <w:rPr>
          <w:rFonts w:ascii="Arial" w:hAnsi="Arial"/>
          <w:color w:val="808080" w:themeColor="background1" w:themeShade="80"/>
          <w:sz w:val="16"/>
          <w:szCs w:val="20"/>
        </w:rPr>
      </w:pPr>
    </w:p>
    <w:p w14:paraId="14BA30FF" w14:textId="77777777" w:rsidR="00411E24" w:rsidRPr="00977F94" w:rsidRDefault="00411E24" w:rsidP="00411E24">
      <w:pPr>
        <w:tabs>
          <w:tab w:val="left" w:pos="270"/>
        </w:tabs>
        <w:rPr>
          <w:rFonts w:ascii="Arial" w:hAnsi="Arial"/>
          <w:b/>
          <w:color w:val="808080" w:themeColor="background1" w:themeShade="80"/>
          <w:sz w:val="16"/>
          <w:szCs w:val="20"/>
        </w:rPr>
      </w:pPr>
      <w:r w:rsidRPr="00977F94">
        <w:rPr>
          <w:rFonts w:ascii="Arial" w:hAnsi="Arial"/>
          <w:b/>
          <w:color w:val="808080" w:themeColor="background1" w:themeShade="80"/>
          <w:sz w:val="16"/>
          <w:szCs w:val="20"/>
        </w:rPr>
        <w:t>About Bentley Systems</w:t>
      </w:r>
    </w:p>
    <w:p w14:paraId="45F67144"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 xml:space="preserve">Bentley Systems is a global leader in providing architects, engineers, geospatial professionals, constructors, and owner-operators with comprehensive software solutions for advancing the design, construction, and operations of infrastructure. Bentley users leverage information mobility across disciplines and throughout the infrastructure lifecycle to deliver better-performing projects and assets. Bentley solutions encompass </w:t>
      </w:r>
      <w:proofErr w:type="spellStart"/>
      <w:r w:rsidRPr="00977F94">
        <w:rPr>
          <w:rFonts w:ascii="Arial" w:hAnsi="Arial"/>
          <w:i/>
          <w:color w:val="808080" w:themeColor="background1" w:themeShade="80"/>
          <w:sz w:val="16"/>
          <w:szCs w:val="20"/>
        </w:rPr>
        <w:t>MicroStation</w:t>
      </w:r>
      <w:proofErr w:type="spellEnd"/>
      <w:r w:rsidRPr="00977F94">
        <w:rPr>
          <w:rFonts w:ascii="Arial" w:hAnsi="Arial"/>
          <w:color w:val="808080" w:themeColor="background1" w:themeShade="80"/>
          <w:sz w:val="16"/>
          <w:szCs w:val="20"/>
        </w:rPr>
        <w:t xml:space="preserve"> applications for information modeling, </w:t>
      </w:r>
      <w:r w:rsidRPr="00977F94">
        <w:rPr>
          <w:rFonts w:ascii="Arial" w:hAnsi="Arial"/>
          <w:i/>
          <w:color w:val="808080" w:themeColor="background1" w:themeShade="80"/>
          <w:sz w:val="16"/>
          <w:szCs w:val="20"/>
        </w:rPr>
        <w:t>ProjectWise</w:t>
      </w:r>
      <w:r w:rsidRPr="00977F94">
        <w:rPr>
          <w:rFonts w:ascii="Arial" w:hAnsi="Arial"/>
          <w:color w:val="808080" w:themeColor="background1" w:themeShade="80"/>
          <w:sz w:val="16"/>
          <w:szCs w:val="20"/>
        </w:rPr>
        <w:t xml:space="preserve"> collaboration services to deliver integrated projects, and </w:t>
      </w:r>
      <w:r w:rsidRPr="00977F94">
        <w:rPr>
          <w:rFonts w:ascii="Arial" w:hAnsi="Arial"/>
          <w:i/>
          <w:color w:val="808080" w:themeColor="background1" w:themeShade="80"/>
          <w:sz w:val="16"/>
          <w:szCs w:val="20"/>
        </w:rPr>
        <w:t>AssetWise</w:t>
      </w:r>
      <w:r w:rsidRPr="00977F94">
        <w:rPr>
          <w:rFonts w:ascii="Arial" w:hAnsi="Arial"/>
          <w:color w:val="808080" w:themeColor="background1" w:themeShade="80"/>
          <w:sz w:val="16"/>
          <w:szCs w:val="20"/>
        </w:rPr>
        <w:t xml:space="preserve"> operations services to achieve intelligent infrastructure – complemented by worldwide professional services and comprehensive managed services. Founded in 1984, Bentley has more than 3,000 colleagues in over 50 countries, more than $600 million in annual revenues, and since 2009 has invested more than $1 billion in research, development, and acquisitions. Additional information is available at </w:t>
      </w:r>
      <w:hyperlink r:id="rId12" w:history="1">
        <w:r w:rsidRPr="00977F94">
          <w:rPr>
            <w:rStyle w:val="Hyperlink"/>
            <w:rFonts w:ascii="Arial" w:hAnsi="Arial"/>
            <w:sz w:val="16"/>
            <w:szCs w:val="20"/>
          </w:rPr>
          <w:t>www.bentley.com</w:t>
        </w:r>
      </w:hyperlink>
      <w:r w:rsidRPr="00977F94">
        <w:rPr>
          <w:rFonts w:ascii="Arial" w:hAnsi="Arial"/>
          <w:color w:val="808080" w:themeColor="background1" w:themeShade="80"/>
          <w:sz w:val="16"/>
          <w:szCs w:val="20"/>
        </w:rPr>
        <w:t>.</w:t>
      </w:r>
    </w:p>
    <w:p w14:paraId="1272EE1D" w14:textId="77777777" w:rsidR="00F905F3" w:rsidRPr="00977F94" w:rsidRDefault="00F905F3" w:rsidP="00DC59E3">
      <w:pPr>
        <w:tabs>
          <w:tab w:val="left" w:pos="270"/>
        </w:tabs>
        <w:rPr>
          <w:rFonts w:ascii="Arial" w:hAnsi="Arial"/>
          <w:color w:val="808080" w:themeColor="background1" w:themeShade="80"/>
          <w:sz w:val="11"/>
          <w:szCs w:val="20"/>
          <w:u w:val="single"/>
        </w:rPr>
      </w:pPr>
    </w:p>
    <w:p w14:paraId="3063E94E" w14:textId="6993C86D" w:rsidR="00C725ED" w:rsidRPr="00977F94" w:rsidRDefault="00F905F3" w:rsidP="00F905F3">
      <w:pPr>
        <w:tabs>
          <w:tab w:val="left" w:pos="270"/>
        </w:tabs>
        <w:jc w:val="center"/>
        <w:rPr>
          <w:rFonts w:ascii="Arial" w:hAnsi="Arial" w:cs="Arial"/>
          <w:sz w:val="16"/>
          <w:szCs w:val="20"/>
        </w:rPr>
      </w:pPr>
      <w:r w:rsidRPr="00977F94">
        <w:rPr>
          <w:rFonts w:ascii="Arial" w:hAnsi="Arial" w:cs="Arial"/>
          <w:sz w:val="16"/>
          <w:szCs w:val="20"/>
        </w:rPr>
        <w:t># # #</w:t>
      </w:r>
    </w:p>
    <w:p w14:paraId="73B55857" w14:textId="77777777" w:rsidR="00053852" w:rsidRPr="00977F94" w:rsidRDefault="00053852" w:rsidP="00F905F3">
      <w:pPr>
        <w:tabs>
          <w:tab w:val="left" w:pos="270"/>
        </w:tabs>
        <w:jc w:val="center"/>
        <w:rPr>
          <w:rFonts w:ascii="Arial" w:hAnsi="Arial" w:cs="Arial"/>
          <w:sz w:val="10"/>
          <w:szCs w:val="20"/>
        </w:rPr>
      </w:pPr>
    </w:p>
    <w:p w14:paraId="62B5049E" w14:textId="77777777" w:rsidR="00411E24" w:rsidRPr="00977F94" w:rsidRDefault="00411E24" w:rsidP="00411E24">
      <w:pPr>
        <w:tabs>
          <w:tab w:val="left" w:pos="270"/>
        </w:tabs>
        <w:rPr>
          <w:rFonts w:ascii="Arial" w:hAnsi="Arial"/>
          <w:b/>
          <w:color w:val="808080" w:themeColor="background1" w:themeShade="80"/>
          <w:sz w:val="16"/>
          <w:szCs w:val="20"/>
        </w:rPr>
      </w:pPr>
      <w:r w:rsidRPr="00977F94">
        <w:rPr>
          <w:rFonts w:ascii="Arial" w:hAnsi="Arial"/>
          <w:b/>
          <w:color w:val="808080" w:themeColor="background1" w:themeShade="80"/>
          <w:sz w:val="16"/>
          <w:szCs w:val="20"/>
        </w:rPr>
        <w:t>Press Information</w:t>
      </w:r>
    </w:p>
    <w:p w14:paraId="557F11CA" w14:textId="77777777" w:rsidR="00411E24" w:rsidRPr="00977F94" w:rsidRDefault="00411E24" w:rsidP="00411E24">
      <w:pPr>
        <w:tabs>
          <w:tab w:val="left" w:pos="270"/>
        </w:tabs>
        <w:rPr>
          <w:rFonts w:ascii="Arial" w:hAnsi="Arial"/>
          <w:b/>
          <w:color w:val="808080" w:themeColor="background1" w:themeShade="80"/>
          <w:sz w:val="16"/>
          <w:szCs w:val="20"/>
        </w:rPr>
      </w:pPr>
      <w:r w:rsidRPr="00977F94">
        <w:rPr>
          <w:rFonts w:ascii="Arial" w:hAnsi="Arial"/>
          <w:b/>
          <w:color w:val="808080" w:themeColor="background1" w:themeShade="80"/>
          <w:sz w:val="16"/>
          <w:szCs w:val="20"/>
        </w:rPr>
        <w:t>Topcon Positioning Group</w:t>
      </w:r>
    </w:p>
    <w:p w14:paraId="06DA5DE9" w14:textId="77777777" w:rsidR="00411E24" w:rsidRPr="00977F94" w:rsidRDefault="00957D0A" w:rsidP="00411E24">
      <w:pPr>
        <w:tabs>
          <w:tab w:val="left" w:pos="270"/>
        </w:tabs>
        <w:rPr>
          <w:rFonts w:ascii="Arial" w:hAnsi="Arial"/>
          <w:color w:val="808080" w:themeColor="background1" w:themeShade="80"/>
          <w:sz w:val="16"/>
          <w:szCs w:val="20"/>
        </w:rPr>
      </w:pPr>
      <w:hyperlink r:id="rId13" w:history="1">
        <w:r w:rsidR="00411E24" w:rsidRPr="00977F94">
          <w:rPr>
            <w:rStyle w:val="Hyperlink"/>
            <w:rFonts w:ascii="Arial" w:hAnsi="Arial"/>
            <w:sz w:val="16"/>
            <w:szCs w:val="20"/>
          </w:rPr>
          <w:t>corpcomm@topcon.com</w:t>
        </w:r>
      </w:hyperlink>
    </w:p>
    <w:p w14:paraId="025159DD"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USA: Staci Fitzgerald, +1 925-245-8610</w:t>
      </w:r>
    </w:p>
    <w:p w14:paraId="05F118D4"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Europe: Stuart Proctor, +31 10 458 50 77</w:t>
      </w:r>
    </w:p>
    <w:p w14:paraId="0D523092" w14:textId="77777777" w:rsidR="00411E24" w:rsidRPr="00977F94" w:rsidRDefault="00411E24" w:rsidP="00411E24">
      <w:pPr>
        <w:tabs>
          <w:tab w:val="left" w:pos="270"/>
        </w:tabs>
        <w:rPr>
          <w:rFonts w:ascii="Arial" w:hAnsi="Arial"/>
          <w:b/>
          <w:color w:val="808080" w:themeColor="background1" w:themeShade="80"/>
          <w:sz w:val="16"/>
          <w:szCs w:val="20"/>
        </w:rPr>
      </w:pPr>
    </w:p>
    <w:p w14:paraId="251E1A50" w14:textId="77777777" w:rsidR="00411E24" w:rsidRPr="00977F94" w:rsidRDefault="00411E24" w:rsidP="00411E24">
      <w:pPr>
        <w:tabs>
          <w:tab w:val="left" w:pos="270"/>
        </w:tabs>
        <w:rPr>
          <w:rFonts w:ascii="Arial" w:hAnsi="Arial"/>
          <w:b/>
          <w:color w:val="808080" w:themeColor="background1" w:themeShade="80"/>
          <w:sz w:val="16"/>
          <w:szCs w:val="20"/>
        </w:rPr>
      </w:pPr>
      <w:r w:rsidRPr="00977F94">
        <w:rPr>
          <w:rFonts w:ascii="Arial" w:hAnsi="Arial"/>
          <w:b/>
          <w:color w:val="808080" w:themeColor="background1" w:themeShade="80"/>
          <w:sz w:val="16"/>
          <w:szCs w:val="20"/>
        </w:rPr>
        <w:t>Bentley Systems</w:t>
      </w:r>
    </w:p>
    <w:p w14:paraId="0EE42C03"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Gail McGrew</w:t>
      </w:r>
    </w:p>
    <w:p w14:paraId="62791D78"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+1 610 458 2752</w:t>
      </w:r>
    </w:p>
    <w:p w14:paraId="5B6C6F24" w14:textId="77777777" w:rsidR="00411E24" w:rsidRPr="00977F94" w:rsidRDefault="00957D0A" w:rsidP="00411E24">
      <w:pPr>
        <w:tabs>
          <w:tab w:val="left" w:pos="270"/>
        </w:tabs>
        <w:rPr>
          <w:rFonts w:ascii="Arial" w:hAnsi="Arial"/>
          <w:color w:val="808080" w:themeColor="background1" w:themeShade="80"/>
          <w:sz w:val="16"/>
          <w:szCs w:val="20"/>
        </w:rPr>
      </w:pPr>
      <w:hyperlink r:id="rId14" w:history="1">
        <w:r w:rsidR="00411E24" w:rsidRPr="00977F94">
          <w:rPr>
            <w:rStyle w:val="Hyperlink"/>
            <w:rFonts w:ascii="Arial" w:hAnsi="Arial"/>
            <w:sz w:val="16"/>
            <w:szCs w:val="20"/>
          </w:rPr>
          <w:t>gail.mcgrew@bentley.com</w:t>
        </w:r>
      </w:hyperlink>
    </w:p>
    <w:p w14:paraId="69F09D27" w14:textId="77777777" w:rsidR="00411E24" w:rsidRPr="00977F94" w:rsidRDefault="00411E24" w:rsidP="00411E24">
      <w:pPr>
        <w:tabs>
          <w:tab w:val="left" w:pos="270"/>
        </w:tabs>
        <w:rPr>
          <w:rFonts w:ascii="Arial" w:hAnsi="Arial"/>
          <w:color w:val="808080" w:themeColor="background1" w:themeShade="80"/>
          <w:sz w:val="16"/>
          <w:szCs w:val="20"/>
        </w:rPr>
      </w:pPr>
      <w:r w:rsidRPr="00977F94">
        <w:rPr>
          <w:rFonts w:ascii="Arial" w:hAnsi="Arial"/>
          <w:color w:val="808080" w:themeColor="background1" w:themeShade="80"/>
          <w:sz w:val="16"/>
          <w:szCs w:val="20"/>
        </w:rPr>
        <w:t>Follow us on Twitter:</w:t>
      </w:r>
    </w:p>
    <w:p w14:paraId="4EC9E2A5" w14:textId="77777777" w:rsidR="00411E24" w:rsidRPr="00977F94" w:rsidRDefault="00957D0A" w:rsidP="00411E24">
      <w:pPr>
        <w:tabs>
          <w:tab w:val="left" w:pos="270"/>
        </w:tabs>
        <w:rPr>
          <w:rFonts w:ascii="Arial" w:hAnsi="Arial"/>
          <w:color w:val="808080" w:themeColor="background1" w:themeShade="80"/>
          <w:sz w:val="16"/>
          <w:szCs w:val="20"/>
        </w:rPr>
      </w:pPr>
      <w:hyperlink r:id="rId15" w:history="1">
        <w:r w:rsidR="00411E24" w:rsidRPr="00977F94">
          <w:rPr>
            <w:rStyle w:val="Hyperlink"/>
            <w:rFonts w:ascii="Arial" w:hAnsi="Arial"/>
            <w:sz w:val="16"/>
            <w:szCs w:val="20"/>
          </w:rPr>
          <w:t>@</w:t>
        </w:r>
        <w:proofErr w:type="spellStart"/>
        <w:r w:rsidR="00411E24" w:rsidRPr="00977F94">
          <w:rPr>
            <w:rStyle w:val="Hyperlink"/>
            <w:rFonts w:ascii="Arial" w:hAnsi="Arial"/>
            <w:sz w:val="16"/>
            <w:szCs w:val="20"/>
          </w:rPr>
          <w:t>BentleySystems</w:t>
        </w:r>
        <w:proofErr w:type="spellEnd"/>
      </w:hyperlink>
    </w:p>
    <w:p w14:paraId="48213CA0" w14:textId="2FF19A31" w:rsidR="00E76568" w:rsidRPr="00E3215D" w:rsidRDefault="00E76568" w:rsidP="00411E24">
      <w:pPr>
        <w:tabs>
          <w:tab w:val="left" w:pos="270"/>
        </w:tabs>
        <w:rPr>
          <w:rFonts w:ascii="Arial" w:hAnsi="Arial"/>
          <w:color w:val="808080" w:themeColor="background1" w:themeShade="80"/>
          <w:sz w:val="20"/>
          <w:szCs w:val="20"/>
        </w:rPr>
      </w:pPr>
    </w:p>
    <w:sectPr w:rsidR="00E76568" w:rsidRPr="00E3215D" w:rsidSect="0009234C">
      <w:headerReference w:type="even" r:id="rId16"/>
      <w:headerReference w:type="default" r:id="rId17"/>
      <w:footerReference w:type="even" r:id="rId18"/>
      <w:footerReference w:type="default" r:id="rId19"/>
      <w:headerReference w:type="first" r:id="rId20"/>
      <w:footerReference w:type="first" r:id="rId21"/>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75270F" w14:textId="77777777" w:rsidR="00957D0A" w:rsidRDefault="00957D0A">
      <w:r>
        <w:separator/>
      </w:r>
    </w:p>
  </w:endnote>
  <w:endnote w:type="continuationSeparator" w:id="0">
    <w:p w14:paraId="072AFDED" w14:textId="77777777" w:rsidR="00957D0A" w:rsidRDefault="00957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D8C88" w14:textId="77777777" w:rsidR="00957D0A" w:rsidRDefault="00957D0A">
      <w:r>
        <w:separator/>
      </w:r>
    </w:p>
  </w:footnote>
  <w:footnote w:type="continuationSeparator" w:id="0">
    <w:p w14:paraId="5FC449A4" w14:textId="77777777" w:rsidR="00957D0A" w:rsidRDefault="00957D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hideSpellingErrors/>
  <w:hideGrammaticalError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3852"/>
    <w:rsid w:val="00073328"/>
    <w:rsid w:val="000872FF"/>
    <w:rsid w:val="0009234C"/>
    <w:rsid w:val="000A6DD5"/>
    <w:rsid w:val="000B5413"/>
    <w:rsid w:val="000C3C4C"/>
    <w:rsid w:val="000C6429"/>
    <w:rsid w:val="000D117E"/>
    <w:rsid w:val="000F0A8F"/>
    <w:rsid w:val="00105D3C"/>
    <w:rsid w:val="00123665"/>
    <w:rsid w:val="00132E04"/>
    <w:rsid w:val="00144C30"/>
    <w:rsid w:val="0015719D"/>
    <w:rsid w:val="00163F32"/>
    <w:rsid w:val="00177523"/>
    <w:rsid w:val="001855FB"/>
    <w:rsid w:val="001929E7"/>
    <w:rsid w:val="001931EF"/>
    <w:rsid w:val="00194EC5"/>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761D"/>
    <w:rsid w:val="003A6C06"/>
    <w:rsid w:val="003A7243"/>
    <w:rsid w:val="003B1941"/>
    <w:rsid w:val="003B49D6"/>
    <w:rsid w:val="003C6648"/>
    <w:rsid w:val="003F134C"/>
    <w:rsid w:val="003F5E34"/>
    <w:rsid w:val="00411E2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710D"/>
    <w:rsid w:val="00587A94"/>
    <w:rsid w:val="00594377"/>
    <w:rsid w:val="00594391"/>
    <w:rsid w:val="005A23A0"/>
    <w:rsid w:val="005A4B01"/>
    <w:rsid w:val="005B6268"/>
    <w:rsid w:val="005C44F8"/>
    <w:rsid w:val="005C48E8"/>
    <w:rsid w:val="005F0C86"/>
    <w:rsid w:val="005F3D0B"/>
    <w:rsid w:val="005F6112"/>
    <w:rsid w:val="006103A4"/>
    <w:rsid w:val="0061068D"/>
    <w:rsid w:val="006112E8"/>
    <w:rsid w:val="0061580F"/>
    <w:rsid w:val="00617F10"/>
    <w:rsid w:val="00622524"/>
    <w:rsid w:val="006274D0"/>
    <w:rsid w:val="00637E81"/>
    <w:rsid w:val="0064309C"/>
    <w:rsid w:val="00644D92"/>
    <w:rsid w:val="006456AE"/>
    <w:rsid w:val="00653C74"/>
    <w:rsid w:val="006829E3"/>
    <w:rsid w:val="0069002A"/>
    <w:rsid w:val="006926B3"/>
    <w:rsid w:val="006B2A9A"/>
    <w:rsid w:val="006D45B6"/>
    <w:rsid w:val="006E05C2"/>
    <w:rsid w:val="00701554"/>
    <w:rsid w:val="0070180F"/>
    <w:rsid w:val="0071541C"/>
    <w:rsid w:val="007530F6"/>
    <w:rsid w:val="00756005"/>
    <w:rsid w:val="007605FA"/>
    <w:rsid w:val="00765F8C"/>
    <w:rsid w:val="007679DE"/>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77544"/>
    <w:rsid w:val="008802C4"/>
    <w:rsid w:val="00886AF1"/>
    <w:rsid w:val="00891FF7"/>
    <w:rsid w:val="00892065"/>
    <w:rsid w:val="00893EAE"/>
    <w:rsid w:val="0089494D"/>
    <w:rsid w:val="008962D4"/>
    <w:rsid w:val="008B0877"/>
    <w:rsid w:val="008C66DC"/>
    <w:rsid w:val="008D0202"/>
    <w:rsid w:val="008E6FD9"/>
    <w:rsid w:val="008F54A3"/>
    <w:rsid w:val="00926CD0"/>
    <w:rsid w:val="009434F4"/>
    <w:rsid w:val="009558FC"/>
    <w:rsid w:val="00956EF7"/>
    <w:rsid w:val="00957D0A"/>
    <w:rsid w:val="00965A65"/>
    <w:rsid w:val="009666D5"/>
    <w:rsid w:val="00975493"/>
    <w:rsid w:val="00977F94"/>
    <w:rsid w:val="009923C1"/>
    <w:rsid w:val="009964DE"/>
    <w:rsid w:val="009A0004"/>
    <w:rsid w:val="009F071C"/>
    <w:rsid w:val="009F4FB0"/>
    <w:rsid w:val="00A06D66"/>
    <w:rsid w:val="00A163CC"/>
    <w:rsid w:val="00A30213"/>
    <w:rsid w:val="00A324A3"/>
    <w:rsid w:val="00A41F3F"/>
    <w:rsid w:val="00A45F34"/>
    <w:rsid w:val="00A47E24"/>
    <w:rsid w:val="00A57BD4"/>
    <w:rsid w:val="00A60195"/>
    <w:rsid w:val="00A74E93"/>
    <w:rsid w:val="00A86ADE"/>
    <w:rsid w:val="00A9365C"/>
    <w:rsid w:val="00A976A5"/>
    <w:rsid w:val="00AA2A43"/>
    <w:rsid w:val="00AC09BA"/>
    <w:rsid w:val="00AE0D23"/>
    <w:rsid w:val="00AE6481"/>
    <w:rsid w:val="00B267B0"/>
    <w:rsid w:val="00B35AF9"/>
    <w:rsid w:val="00B402B7"/>
    <w:rsid w:val="00B4058E"/>
    <w:rsid w:val="00B60ACB"/>
    <w:rsid w:val="00B63468"/>
    <w:rsid w:val="00B63E75"/>
    <w:rsid w:val="00B86920"/>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E188F"/>
    <w:rsid w:val="00CE7749"/>
    <w:rsid w:val="00CE7843"/>
    <w:rsid w:val="00CF403B"/>
    <w:rsid w:val="00CF7FC5"/>
    <w:rsid w:val="00D24B4F"/>
    <w:rsid w:val="00D47414"/>
    <w:rsid w:val="00D55832"/>
    <w:rsid w:val="00D6369D"/>
    <w:rsid w:val="00D647FC"/>
    <w:rsid w:val="00D672DA"/>
    <w:rsid w:val="00D6784A"/>
    <w:rsid w:val="00D70AF0"/>
    <w:rsid w:val="00D70EE2"/>
    <w:rsid w:val="00D91CF0"/>
    <w:rsid w:val="00D979CB"/>
    <w:rsid w:val="00DC59E3"/>
    <w:rsid w:val="00DC60A0"/>
    <w:rsid w:val="00DF08F8"/>
    <w:rsid w:val="00E07F73"/>
    <w:rsid w:val="00E16158"/>
    <w:rsid w:val="00E3215D"/>
    <w:rsid w:val="00E32B47"/>
    <w:rsid w:val="00E47E09"/>
    <w:rsid w:val="00E76187"/>
    <w:rsid w:val="00E76568"/>
    <w:rsid w:val="00EB1000"/>
    <w:rsid w:val="00ED70D3"/>
    <w:rsid w:val="00EE33D2"/>
    <w:rsid w:val="00F0754B"/>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topconpositioning.eu" TargetMode="External"/><Relationship Id="rId11" Type="http://schemas.openxmlformats.org/officeDocument/2006/relationships/hyperlink" Target="http://global.topcon.com/" TargetMode="External"/><Relationship Id="rId12" Type="http://schemas.openxmlformats.org/officeDocument/2006/relationships/hyperlink" Target="http://www.bentley.com" TargetMode="External"/><Relationship Id="rId13" Type="http://schemas.openxmlformats.org/officeDocument/2006/relationships/hyperlink" Target="mailto:corpcomm@topcon.com" TargetMode="External"/><Relationship Id="rId14" Type="http://schemas.openxmlformats.org/officeDocument/2006/relationships/hyperlink" Target="mailto:gail.mcgrew@bentley.com" TargetMode="External"/><Relationship Id="rId15" Type="http://schemas.openxmlformats.org/officeDocument/2006/relationships/hyperlink" Target="http://twitter.com/BentleySystems"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C1BF5-893B-2244-9E9C-8DAF11E8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704</Words>
  <Characters>4018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4713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6</cp:revision>
  <cp:lastPrinted>2015-08-13T12:52:00Z</cp:lastPrinted>
  <dcterms:created xsi:type="dcterms:W3CDTF">2017-02-10T17:05:00Z</dcterms:created>
  <dcterms:modified xsi:type="dcterms:W3CDTF">2017-03-03T21:13:00Z</dcterms:modified>
</cp:coreProperties>
</file>